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F60ABA">
      <w:pPr>
        <w:spacing w:before="0" w:after="0" w:line="522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bookmarkStart w:id="0" w:name="br1"/>
      <w:bookmarkEnd w:id="0"/>
      <w:r>
        <w:pict>
          <v:shape id="_x0000_s1025" o:spid="_x0000_s1025" o:spt="75" type="#_x0000_t75" style="position:absolute;left:0pt;margin-left:-1pt;margin-top:-1pt;height:3pt;width:3pt;mso-position-horizontal-relative:page;mso-position-vertical-relative:page;z-index:-251503616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WUJUFN+FZXBSJW--GB1-0"/>
          <w:color w:val="000000"/>
          <w:spacing w:val="0"/>
          <w:sz w:val="44"/>
        </w:rPr>
        <w:t>2025</w:t>
      </w:r>
      <w:r>
        <w:rPr>
          <w:rFonts w:ascii="Times New Roman"/>
          <w:color w:val="000000"/>
          <w:spacing w:val="-1"/>
          <w:sz w:val="44"/>
        </w:rPr>
        <w:t xml:space="preserve"> </w:t>
      </w:r>
      <w:r>
        <w:rPr>
          <w:rFonts w:ascii="WUJUFN+FZXBSJW--GB1-0" w:hAnsi="WUJUFN+FZXBSJW--GB1-0" w:cs="WUJUFN+FZXBSJW--GB1-0"/>
          <w:color w:val="000000"/>
          <w:spacing w:val="0"/>
          <w:sz w:val="44"/>
        </w:rPr>
        <w:t>年度</w:t>
      </w:r>
      <w:r>
        <w:rPr>
          <w:rFonts w:ascii="WUJUFN+FZXBSJW--GB1-0" w:hAnsi="WUJUFN+FZXBSJW--GB1-0" w:cs="WUJUFN+FZXBSJW--GB1-0"/>
          <w:color w:val="000000"/>
          <w:spacing w:val="0"/>
          <w:sz w:val="44"/>
          <w:u w:val="single"/>
        </w:rPr>
        <w:t>通辽市人民医院</w:t>
      </w:r>
      <w:r>
        <w:rPr>
          <w:rFonts w:ascii="WUJUFN+FZXBSJW--GB1-0" w:hAnsi="WUJUFN+FZXBSJW--GB1-0" w:cs="WUJUFN+FZXBSJW--GB1-0"/>
          <w:color w:val="000000"/>
          <w:spacing w:val="0"/>
          <w:sz w:val="44"/>
        </w:rPr>
        <w:t>预算公开</w:t>
      </w:r>
    </w:p>
    <w:p w14:paraId="7F62E2C7">
      <w:pPr>
        <w:spacing w:before="5587" w:after="0" w:line="330" w:lineRule="exact"/>
        <w:ind w:left="15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批复时间：</w:t>
      </w:r>
      <w:r>
        <w:rPr>
          <w:rFonts w:ascii="Times New Roman"/>
          <w:color w:val="000000"/>
          <w:spacing w:val="399"/>
          <w:sz w:val="32"/>
        </w:rPr>
        <w:t xml:space="preserve"> </w:t>
      </w:r>
      <w:r>
        <w:rPr>
          <w:rFonts w:ascii="黑体"/>
          <w:color w:val="000000"/>
          <w:spacing w:val="0"/>
          <w:sz w:val="32"/>
          <w:u w:val="single"/>
        </w:rPr>
        <w:t>2025</w:t>
      </w:r>
      <w:r>
        <w:rPr>
          <w:rFonts w:ascii="Times New Roman"/>
          <w:color w:val="000000"/>
          <w:spacing w:val="401"/>
          <w:sz w:val="32"/>
          <w:u w:val="single"/>
        </w:rPr>
        <w:t xml:space="preserve"> </w:t>
      </w:r>
      <w:r>
        <w:rPr>
          <w:rFonts w:ascii="黑体" w:hAnsi="黑体" w:cs="黑体"/>
          <w:color w:val="000000"/>
          <w:spacing w:val="0"/>
          <w:sz w:val="32"/>
          <w:u w:val="single"/>
        </w:rPr>
        <w:t>年</w:t>
      </w:r>
      <w:r>
        <w:rPr>
          <w:rFonts w:ascii="Times New Roman"/>
          <w:color w:val="000000"/>
          <w:spacing w:val="399"/>
          <w:sz w:val="32"/>
          <w:u w:val="single"/>
        </w:rPr>
        <w:t xml:space="preserve"> </w:t>
      </w:r>
      <w:r>
        <w:rPr>
          <w:rFonts w:ascii="黑体"/>
          <w:color w:val="000000"/>
          <w:spacing w:val="0"/>
          <w:sz w:val="32"/>
          <w:u w:val="single"/>
        </w:rPr>
        <w:t>2</w:t>
      </w:r>
      <w:r>
        <w:rPr>
          <w:rFonts w:ascii="Times New Roman"/>
          <w:color w:val="000000"/>
          <w:spacing w:val="401"/>
          <w:sz w:val="32"/>
          <w:u w:val="single"/>
        </w:rPr>
        <w:t xml:space="preserve"> </w:t>
      </w:r>
      <w:r>
        <w:rPr>
          <w:rFonts w:ascii="黑体" w:hAnsi="黑体" w:cs="黑体"/>
          <w:color w:val="000000"/>
          <w:spacing w:val="0"/>
          <w:sz w:val="32"/>
          <w:u w:val="single"/>
        </w:rPr>
        <w:t>月</w:t>
      </w:r>
      <w:r>
        <w:rPr>
          <w:rFonts w:ascii="Times New Roman"/>
          <w:color w:val="000000"/>
          <w:spacing w:val="399"/>
          <w:sz w:val="32"/>
          <w:u w:val="single"/>
        </w:rPr>
        <w:t xml:space="preserve"> </w:t>
      </w:r>
      <w:r>
        <w:rPr>
          <w:rFonts w:ascii="黑体"/>
          <w:color w:val="000000"/>
          <w:spacing w:val="1"/>
          <w:sz w:val="32"/>
          <w:u w:val="single"/>
        </w:rPr>
        <w:t>21</w:t>
      </w:r>
      <w:r>
        <w:rPr>
          <w:rFonts w:ascii="Times New Roman"/>
          <w:color w:val="000000"/>
          <w:spacing w:val="239"/>
          <w:sz w:val="32"/>
          <w:u w:val="single"/>
        </w:rPr>
        <w:t xml:space="preserve"> </w:t>
      </w:r>
      <w:r>
        <w:rPr>
          <w:rFonts w:ascii="黑体" w:hAnsi="黑体" w:cs="黑体"/>
          <w:color w:val="000000"/>
          <w:spacing w:val="0"/>
          <w:sz w:val="32"/>
          <w:u w:val="single"/>
        </w:rPr>
        <w:t>日</w:t>
      </w:r>
    </w:p>
    <w:p w14:paraId="386C5A15">
      <w:pPr>
        <w:spacing w:before="270" w:after="0" w:line="330" w:lineRule="exact"/>
        <w:ind w:left="15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公开时间：</w:t>
      </w:r>
      <w:r>
        <w:rPr>
          <w:rFonts w:ascii="Times New Roman"/>
          <w:color w:val="000000"/>
          <w:spacing w:val="399"/>
          <w:sz w:val="32"/>
        </w:rPr>
        <w:t xml:space="preserve"> </w:t>
      </w:r>
      <w:r>
        <w:rPr>
          <w:rFonts w:ascii="黑体"/>
          <w:color w:val="000000"/>
          <w:spacing w:val="0"/>
          <w:sz w:val="32"/>
          <w:u w:val="single"/>
        </w:rPr>
        <w:t>2025</w:t>
      </w:r>
      <w:r>
        <w:rPr>
          <w:rFonts w:ascii="Times New Roman"/>
          <w:color w:val="000000"/>
          <w:spacing w:val="401"/>
          <w:sz w:val="32"/>
          <w:u w:val="single"/>
        </w:rPr>
        <w:t xml:space="preserve"> </w:t>
      </w:r>
      <w:r>
        <w:rPr>
          <w:rFonts w:ascii="黑体" w:hAnsi="黑体" w:cs="黑体"/>
          <w:color w:val="000000"/>
          <w:spacing w:val="0"/>
          <w:sz w:val="32"/>
          <w:u w:val="single"/>
        </w:rPr>
        <w:t>年</w:t>
      </w:r>
      <w:r>
        <w:rPr>
          <w:rFonts w:ascii="Times New Roman"/>
          <w:color w:val="000000"/>
          <w:spacing w:val="399"/>
          <w:sz w:val="32"/>
          <w:u w:val="single"/>
        </w:rPr>
        <w:t xml:space="preserve"> </w:t>
      </w:r>
      <w:r>
        <w:rPr>
          <w:rFonts w:ascii="黑体"/>
          <w:color w:val="000000"/>
          <w:spacing w:val="0"/>
          <w:sz w:val="32"/>
          <w:u w:val="single"/>
        </w:rPr>
        <w:t>2</w:t>
      </w:r>
      <w:r>
        <w:rPr>
          <w:rFonts w:ascii="Times New Roman"/>
          <w:color w:val="000000"/>
          <w:spacing w:val="401"/>
          <w:sz w:val="32"/>
          <w:u w:val="single"/>
        </w:rPr>
        <w:t xml:space="preserve"> </w:t>
      </w:r>
      <w:r>
        <w:rPr>
          <w:rFonts w:ascii="黑体" w:hAnsi="黑体" w:cs="黑体"/>
          <w:color w:val="000000"/>
          <w:spacing w:val="0"/>
          <w:sz w:val="32"/>
          <w:u w:val="single"/>
        </w:rPr>
        <w:t>月</w:t>
      </w:r>
      <w:r>
        <w:rPr>
          <w:rFonts w:ascii="Times New Roman"/>
          <w:color w:val="000000"/>
          <w:spacing w:val="399"/>
          <w:sz w:val="32"/>
          <w:u w:val="single"/>
        </w:rPr>
        <w:t xml:space="preserve"> </w:t>
      </w:r>
      <w:r>
        <w:rPr>
          <w:rFonts w:ascii="黑体"/>
          <w:color w:val="000000"/>
          <w:spacing w:val="1"/>
          <w:sz w:val="32"/>
          <w:u w:val="single"/>
        </w:rPr>
        <w:t>26</w:t>
      </w:r>
      <w:r>
        <w:rPr>
          <w:rFonts w:ascii="Times New Roman"/>
          <w:color w:val="000000"/>
          <w:spacing w:val="239"/>
          <w:sz w:val="32"/>
          <w:u w:val="single"/>
        </w:rPr>
        <w:t xml:space="preserve"> </w:t>
      </w:r>
      <w:r>
        <w:rPr>
          <w:rFonts w:ascii="黑体" w:hAnsi="黑体" w:cs="黑体"/>
          <w:color w:val="000000"/>
          <w:spacing w:val="0"/>
          <w:sz w:val="32"/>
          <w:u w:val="single"/>
        </w:rPr>
        <w:t>日</w:t>
      </w:r>
    </w:p>
    <w:p w14:paraId="7058FA71">
      <w:pPr>
        <w:spacing w:before="4150" w:after="0" w:line="260" w:lineRule="exact"/>
        <w:ind w:left="3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等线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-</w:t>
      </w:r>
    </w:p>
    <w:p w14:paraId="274D2FF8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EEA9D16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BD7A9DB">
      <w:pPr>
        <w:pStyle w:val="4"/>
        <w:sectPr>
          <w:pgSz w:w="11900" w:h="16840"/>
          <w:pgMar w:top="4511" w:right="100" w:bottom="0" w:left="2580" w:header="720" w:footer="720" w:gutter="0"/>
          <w:pgNumType w:start="1"/>
          <w:cols w:space="720" w:num="1"/>
          <w:docGrid w:linePitch="1" w:charSpace="0"/>
        </w:sectPr>
      </w:pPr>
    </w:p>
    <w:p w14:paraId="4F41C78F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14C0C89">
      <w:pPr>
        <w:spacing w:before="0" w:after="0" w:line="449" w:lineRule="exact"/>
        <w:ind w:left="3415" w:right="0" w:firstLine="0"/>
        <w:jc w:val="left"/>
        <w:rPr>
          <w:rFonts w:ascii="Times New Roman"/>
          <w:color w:val="000000"/>
          <w:spacing w:val="0"/>
          <w:sz w:val="44"/>
        </w:rPr>
      </w:pPr>
      <w:bookmarkStart w:id="1" w:name="br2"/>
      <w:bookmarkEnd w:id="1"/>
      <w:r>
        <w:rPr>
          <w:rFonts w:ascii="宋体" w:hAnsi="宋体" w:cs="宋体"/>
          <w:color w:val="000000"/>
          <w:spacing w:val="0"/>
          <w:sz w:val="44"/>
        </w:rPr>
        <w:t>目</w:t>
      </w:r>
      <w:r>
        <w:rPr>
          <w:rFonts w:ascii="Times New Roman"/>
          <w:color w:val="000000"/>
          <w:spacing w:val="770"/>
          <w:sz w:val="44"/>
        </w:rPr>
        <w:t xml:space="preserve"> </w:t>
      </w:r>
      <w:r>
        <w:rPr>
          <w:rFonts w:ascii="宋体" w:hAnsi="宋体" w:cs="宋体"/>
          <w:color w:val="000000"/>
          <w:spacing w:val="0"/>
          <w:sz w:val="44"/>
        </w:rPr>
        <w:t>录</w:t>
      </w:r>
    </w:p>
    <w:p w14:paraId="376EA7B2">
      <w:pPr>
        <w:spacing w:before="49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第一部分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黑体" w:hAnsi="黑体" w:cs="黑体"/>
          <w:color w:val="000000"/>
          <w:spacing w:val="0"/>
          <w:sz w:val="32"/>
        </w:rPr>
        <w:t>单位概况</w:t>
      </w:r>
    </w:p>
    <w:p w14:paraId="1F823B7F">
      <w:pPr>
        <w:spacing w:before="27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7"/>
          <w:sz w:val="31"/>
        </w:rPr>
        <w:t>一、主要职能、职责</w:t>
      </w:r>
    </w:p>
    <w:p w14:paraId="3F41DC20">
      <w:pPr>
        <w:spacing w:before="27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二、单位机构设置及预算单位构成情况</w:t>
      </w:r>
    </w:p>
    <w:p w14:paraId="2F39CA01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三、2025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年度单位主要工作任务及目标</w:t>
      </w:r>
    </w:p>
    <w:p w14:paraId="083500BE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第二部分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黑体"/>
          <w:color w:val="000000"/>
          <w:spacing w:val="0"/>
          <w:sz w:val="32"/>
        </w:rPr>
        <w:t>2025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黑体" w:hAnsi="黑体" w:cs="黑体"/>
          <w:color w:val="000000"/>
          <w:spacing w:val="0"/>
          <w:sz w:val="32"/>
        </w:rPr>
        <w:t>年度单位预算情况说明</w:t>
      </w:r>
    </w:p>
    <w:p w14:paraId="129F776D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一、收支预算总体情况说明</w:t>
      </w:r>
    </w:p>
    <w:p w14:paraId="075216B6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二、收入预算情况说明</w:t>
      </w:r>
    </w:p>
    <w:p w14:paraId="6A0CF242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三、支出预算情况说明</w:t>
      </w:r>
    </w:p>
    <w:p w14:paraId="786011E5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四、财政拨款收支预算总体情况说明</w:t>
      </w:r>
    </w:p>
    <w:p w14:paraId="1BD4B505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五、一般公共预算支出预算情况说明</w:t>
      </w:r>
    </w:p>
    <w:p w14:paraId="098AB71F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六、一般公共预算基本支出预算情况说明</w:t>
      </w:r>
    </w:p>
    <w:p w14:paraId="156DC3EA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七、一般公共预算“三公”经费支出预算情况说明</w:t>
      </w:r>
    </w:p>
    <w:p w14:paraId="46A5DDC9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八、政府性基金预算支出预算情况说明</w:t>
      </w:r>
    </w:p>
    <w:p w14:paraId="6D69D299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九、国有资本经营预算支出预算情况说明</w:t>
      </w:r>
    </w:p>
    <w:p w14:paraId="70F5A9E6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十、项目支出预算情况说明</w:t>
      </w:r>
    </w:p>
    <w:p w14:paraId="44B3AC1A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十一、机构运行经费支出预算情况说明</w:t>
      </w:r>
    </w:p>
    <w:p w14:paraId="6E284762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十二、政府采购支出预算情况说明</w:t>
      </w:r>
    </w:p>
    <w:p w14:paraId="324211C6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十三、国有资产占用情况说明</w:t>
      </w:r>
    </w:p>
    <w:p w14:paraId="11518A88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十四、项目绩效目标情况说明</w:t>
      </w:r>
    </w:p>
    <w:p w14:paraId="6062A2B7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第三部分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黑体" w:hAnsi="黑体" w:cs="黑体"/>
          <w:color w:val="000000"/>
          <w:spacing w:val="0"/>
          <w:sz w:val="32"/>
        </w:rPr>
        <w:t>名词解释</w:t>
      </w:r>
    </w:p>
    <w:p w14:paraId="2C61EBFE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第四部分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黑体" w:hAnsi="黑体" w:cs="黑体"/>
          <w:color w:val="000000"/>
          <w:spacing w:val="0"/>
          <w:sz w:val="32"/>
        </w:rPr>
        <w:t>预算公开联系方式及信息反馈渠道</w:t>
      </w:r>
    </w:p>
    <w:p w14:paraId="17E33E1F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第五部分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黑体"/>
          <w:color w:val="000000"/>
          <w:spacing w:val="0"/>
          <w:sz w:val="32"/>
        </w:rPr>
        <w:t>2025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黑体" w:hAnsi="黑体" w:cs="黑体"/>
          <w:color w:val="000000"/>
          <w:spacing w:val="0"/>
          <w:sz w:val="32"/>
        </w:rPr>
        <w:t>年度单位预算表</w:t>
      </w:r>
    </w:p>
    <w:p w14:paraId="2EF5CBE4">
      <w:pPr>
        <w:spacing w:before="140" w:after="0" w:line="260" w:lineRule="exact"/>
        <w:ind w:left="41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等线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-</w:t>
      </w:r>
    </w:p>
    <w:p w14:paraId="5BFC7888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64A2307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ADD604B">
      <w:pPr>
        <w:pStyle w:val="4"/>
        <w:sectPr>
          <w:pgSz w:w="11900" w:h="16840"/>
          <w:pgMar w:top="1685" w:right="100" w:bottom="0" w:left="1639" w:header="720" w:footer="720" w:gutter="0"/>
          <w:pgNumType w:start="1"/>
          <w:cols w:space="720" w:num="1"/>
          <w:docGrid w:linePitch="1" w:charSpace="0"/>
        </w:sectPr>
      </w:pPr>
    </w:p>
    <w:p w14:paraId="45C84D72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78C9352">
      <w:pPr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bookmarkStart w:id="2" w:name="br3"/>
      <w:bookmarkEnd w:id="2"/>
      <w:r>
        <w:rPr>
          <w:rFonts w:ascii="仿宋" w:hAnsi="仿宋" w:cs="仿宋"/>
          <w:color w:val="000000"/>
          <w:spacing w:val="0"/>
          <w:sz w:val="32"/>
        </w:rPr>
        <w:t>一、收支总表</w:t>
      </w:r>
    </w:p>
    <w:p w14:paraId="59D03677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二、收入总表</w:t>
      </w:r>
    </w:p>
    <w:p w14:paraId="3D9A0934">
      <w:pPr>
        <w:spacing w:before="27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7"/>
          <w:sz w:val="31"/>
        </w:rPr>
        <w:t>三、支出总表</w:t>
      </w:r>
    </w:p>
    <w:p w14:paraId="061AE03B">
      <w:pPr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7"/>
          <w:sz w:val="31"/>
        </w:rPr>
        <w:t>四、财政拨款收支总表</w:t>
      </w:r>
    </w:p>
    <w:p w14:paraId="2793EE3D">
      <w:pPr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7"/>
          <w:sz w:val="31"/>
        </w:rPr>
        <w:t>五、一般公共预算支出表</w:t>
      </w:r>
    </w:p>
    <w:p w14:paraId="141FAC02">
      <w:pPr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7"/>
          <w:sz w:val="31"/>
        </w:rPr>
        <w:t>六、一般公共预算基本支出表</w:t>
      </w:r>
    </w:p>
    <w:p w14:paraId="272FDD2C">
      <w:pPr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38"/>
          <w:sz w:val="31"/>
        </w:rPr>
        <w:t>七、一般公共预算“三公”经费支出表</w:t>
      </w:r>
    </w:p>
    <w:p w14:paraId="1ADBCDC4">
      <w:pPr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39"/>
          <w:sz w:val="31"/>
        </w:rPr>
        <w:t>八、政府性基金预算支出表</w:t>
      </w:r>
    </w:p>
    <w:p w14:paraId="3C94F974">
      <w:pPr>
        <w:spacing w:before="27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九、国有资本经营预算支出表</w:t>
      </w:r>
    </w:p>
    <w:p w14:paraId="7DB13A96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十、项目支出表</w:t>
      </w:r>
    </w:p>
    <w:p w14:paraId="654DD490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十一、项目绩效目标表</w:t>
      </w:r>
    </w:p>
    <w:p w14:paraId="39BECFAE">
      <w:pPr>
        <w:spacing w:before="27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仿宋" w:hAnsi="仿宋" w:cs="仿宋"/>
          <w:color w:val="000000"/>
          <w:spacing w:val="-7"/>
          <w:sz w:val="31"/>
        </w:rPr>
        <w:t>十二、政府采购预算表</w:t>
      </w:r>
    </w:p>
    <w:p w14:paraId="090CEC67">
      <w:pPr>
        <w:spacing w:before="6983" w:after="0" w:line="260" w:lineRule="exact"/>
        <w:ind w:left="41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等线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-</w:t>
      </w:r>
    </w:p>
    <w:p w14:paraId="0C2E09EA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C0423A7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12206AF">
      <w:pPr>
        <w:pStyle w:val="4"/>
        <w:sectPr>
          <w:pgSz w:w="11900" w:h="16840"/>
          <w:pgMar w:top="1788" w:right="100" w:bottom="0" w:left="1639" w:header="720" w:footer="720" w:gutter="0"/>
          <w:pgNumType w:start="1"/>
          <w:cols w:space="720" w:num="1"/>
          <w:docGrid w:linePitch="1" w:charSpace="0"/>
        </w:sectPr>
      </w:pPr>
    </w:p>
    <w:p w14:paraId="73C7D777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94EEA84">
      <w:pPr>
        <w:spacing w:before="0" w:after="0" w:line="429" w:lineRule="exact"/>
        <w:ind w:left="2899" w:right="0" w:firstLine="0"/>
        <w:jc w:val="left"/>
        <w:rPr>
          <w:rFonts w:ascii="Times New Roman"/>
          <w:color w:val="000000"/>
          <w:spacing w:val="0"/>
          <w:sz w:val="36"/>
        </w:rPr>
      </w:pPr>
      <w:bookmarkStart w:id="3" w:name="br4"/>
      <w:bookmarkEnd w:id="3"/>
      <w:r>
        <w:pict>
          <v:shape id="_x0000_s1026" o:spid="_x0000_s1026" o:spt="75" type="#_x0000_t75" style="position:absolute;left:0pt;margin-left:55.35pt;margin-top:558pt;height:65.2pt;width:429.35pt;mso-position-horizontal-relative:page;mso-position-vertical-relative:page;z-index:-251504640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rPr>
          <w:rFonts w:ascii="WUJUFN+FZXBSJW--GB1-0" w:hAnsi="WUJUFN+FZXBSJW--GB1-0" w:cs="WUJUFN+FZXBSJW--GB1-0"/>
          <w:color w:val="000000"/>
          <w:spacing w:val="0"/>
          <w:sz w:val="36"/>
        </w:rPr>
        <w:t>第一部分</w:t>
      </w:r>
      <w:r>
        <w:rPr>
          <w:rFonts w:ascii="Times New Roman"/>
          <w:color w:val="000000"/>
          <w:spacing w:val="270"/>
          <w:sz w:val="36"/>
        </w:rPr>
        <w:t xml:space="preserve"> </w:t>
      </w:r>
      <w:r>
        <w:rPr>
          <w:rFonts w:ascii="WUJUFN+FZXBSJW--GB1-0" w:hAnsi="WUJUFN+FZXBSJW--GB1-0" w:cs="WUJUFN+FZXBSJW--GB1-0"/>
          <w:color w:val="000000"/>
          <w:spacing w:val="0"/>
          <w:sz w:val="36"/>
        </w:rPr>
        <w:t>单位概况</w:t>
      </w:r>
    </w:p>
    <w:p w14:paraId="1727FB16">
      <w:pPr>
        <w:spacing w:before="811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一、主要职能职责</w:t>
      </w:r>
    </w:p>
    <w:p w14:paraId="138AC878">
      <w:pPr>
        <w:spacing w:before="271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通辽市人民医院为通辽市最大的一所集医疗、科研、教学、</w:t>
      </w:r>
    </w:p>
    <w:p w14:paraId="51D11954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保健、康复、体检为一体的国家三级甲等综合非营利性医院。依</w:t>
      </w:r>
    </w:p>
    <w:p w14:paraId="34BAA654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照市政府及相关主管部门的规定和要求，承担临床医疗、医学教</w:t>
      </w:r>
    </w:p>
    <w:p w14:paraId="3D2705E4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育、医学科研、预防保健等任务，是区域医疗中心，是内蒙古医</w:t>
      </w:r>
    </w:p>
    <w:p w14:paraId="4411A0DF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科大学临床医学院、内蒙古民族大学、通辽职业学院等院校的临</w:t>
      </w:r>
    </w:p>
    <w:p w14:paraId="03799C16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床教学医院，内蒙古医科大学硕士研究生培养单位，是国家住院</w:t>
      </w:r>
    </w:p>
    <w:p w14:paraId="0C7D0AE1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医师规范化培训基地。</w:t>
      </w:r>
    </w:p>
    <w:p w14:paraId="60022E0B">
      <w:pPr>
        <w:spacing w:before="271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二、单位机构设置及预算单位构成情况</w:t>
      </w:r>
    </w:p>
    <w:p w14:paraId="0412BBAB">
      <w:pPr>
        <w:spacing w:before="261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1"/>
          <w:sz w:val="32"/>
        </w:rPr>
        <w:t>1</w:t>
      </w:r>
      <w:r>
        <w:rPr>
          <w:rFonts w:ascii="仿宋" w:hAnsi="仿宋" w:cs="仿宋"/>
          <w:color w:val="000000"/>
          <w:spacing w:val="-3"/>
          <w:sz w:val="32"/>
        </w:rPr>
        <w:t>．根据单位职责分工，本单位内设机构包括临床科室、医技</w:t>
      </w:r>
    </w:p>
    <w:p w14:paraId="4858A5C1">
      <w:pPr>
        <w:spacing w:before="24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科室、其他业务科室、职能科室。本单位无下属单位。</w:t>
      </w:r>
    </w:p>
    <w:p w14:paraId="5014E6E3">
      <w:pPr>
        <w:spacing w:before="261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0"/>
          <w:sz w:val="32"/>
        </w:rPr>
        <w:t>2.</w:t>
      </w:r>
      <w:r>
        <w:rPr>
          <w:rFonts w:ascii="仿宋" w:hAnsi="仿宋" w:cs="仿宋"/>
          <w:color w:val="000000"/>
          <w:spacing w:val="0"/>
          <w:sz w:val="32"/>
        </w:rPr>
        <w:t>从预算单位构成看，纳入本单位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2025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年部门汇总预算编制</w:t>
      </w:r>
    </w:p>
    <w:p w14:paraId="330E8060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范围的预算单位共计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家，具体包括：通辽市人民医院</w:t>
      </w:r>
    </w:p>
    <w:p w14:paraId="4E134448">
      <w:pPr>
        <w:spacing w:before="247" w:after="9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详细情况见表：</w:t>
      </w:r>
    </w:p>
    <w:tbl>
      <w:tblPr>
        <w:tblStyle w:val="5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7"/>
        <w:gridCol w:w="1475"/>
        <w:gridCol w:w="20"/>
        <w:gridCol w:w="5250"/>
      </w:tblGrid>
      <w:tr w14:paraId="13F905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</w:trPr>
        <w:tc>
          <w:tcPr>
            <w:tcW w:w="67" w:type="dxa"/>
            <w:noWrap w:val="0"/>
            <w:vAlign w:val="top"/>
          </w:tcPr>
          <w:p w14:paraId="2B6F8442">
            <w:pPr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2"/>
              </w:rPr>
            </w:pPr>
          </w:p>
        </w:tc>
        <w:tc>
          <w:tcPr>
            <w:tcW w:w="1475" w:type="dxa"/>
            <w:noWrap w:val="0"/>
            <w:vAlign w:val="top"/>
          </w:tcPr>
          <w:p w14:paraId="1F4AAC45">
            <w:pPr>
              <w:spacing w:before="0" w:after="0" w:line="31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1"/>
              </w:rPr>
            </w:pPr>
            <w:r>
              <w:rPr>
                <w:rFonts w:ascii="仿宋" w:hAnsi="仿宋" w:cs="仿宋"/>
                <w:color w:val="000000"/>
                <w:spacing w:val="0"/>
                <w:sz w:val="31"/>
              </w:rPr>
              <w:t>序</w:t>
            </w:r>
          </w:p>
          <w:p w14:paraId="0250E5F5">
            <w:pPr>
              <w:spacing w:before="93" w:after="0" w:line="31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1"/>
              </w:rPr>
            </w:pPr>
            <w:r>
              <w:rPr>
                <w:rFonts w:ascii="仿宋" w:hAnsi="仿宋" w:cs="仿宋"/>
                <w:color w:val="000000"/>
                <w:spacing w:val="0"/>
                <w:sz w:val="31"/>
              </w:rPr>
              <w:t>号</w:t>
            </w:r>
          </w:p>
        </w:tc>
        <w:tc>
          <w:tcPr>
            <w:tcW w:w="20" w:type="dxa"/>
            <w:noWrap w:val="0"/>
            <w:vAlign w:val="top"/>
          </w:tcPr>
          <w:p w14:paraId="22D31EA4">
            <w:pPr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1"/>
              </w:rPr>
            </w:pPr>
          </w:p>
        </w:tc>
        <w:tc>
          <w:tcPr>
            <w:tcW w:w="5250" w:type="dxa"/>
            <w:noWrap w:val="0"/>
            <w:vAlign w:val="top"/>
          </w:tcPr>
          <w:p w14:paraId="476C8698">
            <w:pPr>
              <w:spacing w:before="199" w:after="0" w:line="31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1"/>
              </w:rPr>
            </w:pPr>
            <w:r>
              <w:rPr>
                <w:rFonts w:ascii="仿宋" w:hAnsi="仿宋" w:cs="仿宋"/>
                <w:color w:val="000000"/>
                <w:spacing w:val="0"/>
                <w:sz w:val="31"/>
              </w:rPr>
              <w:t>单位名称</w:t>
            </w:r>
            <w:r>
              <w:rPr>
                <w:rFonts w:ascii="Times New Roman"/>
                <w:color w:val="000000"/>
                <w:spacing w:val="2615"/>
                <w:sz w:val="31"/>
              </w:rPr>
              <w:t xml:space="preserve"> </w:t>
            </w:r>
            <w:r>
              <w:rPr>
                <w:rFonts w:ascii="仿宋" w:hAnsi="仿宋" w:cs="仿宋"/>
                <w:color w:val="000000"/>
                <w:spacing w:val="0"/>
                <w:sz w:val="31"/>
              </w:rPr>
              <w:t>单位性质</w:t>
            </w:r>
          </w:p>
        </w:tc>
      </w:tr>
    </w:tbl>
    <w:p w14:paraId="713B6DA0">
      <w:pPr>
        <w:spacing w:before="98" w:after="0" w:line="353" w:lineRule="exact"/>
        <w:ind w:left="14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0"/>
          <w:sz w:val="31"/>
        </w:rPr>
        <w:t>1</w:t>
      </w:r>
      <w:r>
        <w:rPr>
          <w:rFonts w:ascii="Times New Roman"/>
          <w:color w:val="000000"/>
          <w:spacing w:val="284"/>
          <w:sz w:val="31"/>
        </w:rPr>
        <w:t xml:space="preserve"> </w:t>
      </w:r>
      <w:r>
        <w:rPr>
          <w:rFonts w:ascii="仿宋" w:hAnsi="仿宋" w:cs="仿宋"/>
          <w:color w:val="000000"/>
          <w:spacing w:val="0"/>
          <w:sz w:val="31"/>
        </w:rPr>
        <w:t>通辽市人民医院</w:t>
      </w:r>
      <w:r>
        <w:rPr>
          <w:rFonts w:ascii="Times New Roman"/>
          <w:color w:val="000000"/>
          <w:spacing w:val="1014"/>
          <w:sz w:val="31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公益二类</w:t>
      </w:r>
    </w:p>
    <w:p w14:paraId="6F0E6599">
      <w:pPr>
        <w:spacing w:before="237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-1"/>
          <w:sz w:val="32"/>
        </w:rPr>
        <w:t>三、</w:t>
      </w:r>
      <w:r>
        <w:rPr>
          <w:rFonts w:ascii="仿宋"/>
          <w:color w:val="000000"/>
          <w:spacing w:val="0"/>
          <w:sz w:val="32"/>
        </w:rPr>
        <w:t>2025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黑体" w:hAnsi="黑体" w:cs="黑体"/>
          <w:color w:val="000000"/>
          <w:spacing w:val="0"/>
          <w:sz w:val="32"/>
        </w:rPr>
        <w:t>年度单位主要工作任务及目标</w:t>
      </w:r>
    </w:p>
    <w:p w14:paraId="0A9F1DFA">
      <w:pPr>
        <w:spacing w:before="261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1"/>
          <w:sz w:val="32"/>
        </w:rPr>
        <w:t>1</w:t>
      </w:r>
      <w:r>
        <w:rPr>
          <w:rFonts w:ascii="仿宋" w:hAnsi="仿宋" w:cs="仿宋"/>
          <w:color w:val="000000"/>
          <w:spacing w:val="0"/>
          <w:sz w:val="32"/>
        </w:rPr>
        <w:t>、贯彻落实新时期我国卫生与健康工作方针，坚持公益性，</w:t>
      </w:r>
    </w:p>
    <w:p w14:paraId="1DBF647D">
      <w:pPr>
        <w:spacing w:before="24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保障人民群众健康，推动医院各方面工作健康发展。</w:t>
      </w:r>
    </w:p>
    <w:p w14:paraId="53500730">
      <w:pPr>
        <w:spacing w:before="261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1"/>
          <w:sz w:val="32"/>
        </w:rPr>
        <w:t>2</w:t>
      </w:r>
      <w:r>
        <w:rPr>
          <w:rFonts w:ascii="仿宋" w:hAnsi="仿宋" w:cs="仿宋"/>
          <w:color w:val="000000"/>
          <w:spacing w:val="-3"/>
          <w:sz w:val="32"/>
        </w:rPr>
        <w:t>、为人民群众提供医疗保健、疾病预防、健康教育、健康科</w:t>
      </w:r>
    </w:p>
    <w:p w14:paraId="5AACCA53">
      <w:pPr>
        <w:spacing w:before="24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普等医疗和一定的公共卫生服务。</w:t>
      </w:r>
    </w:p>
    <w:p w14:paraId="3327C137">
      <w:pPr>
        <w:spacing w:before="334" w:after="0" w:line="260" w:lineRule="exact"/>
        <w:ind w:left="40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等线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-</w:t>
      </w:r>
    </w:p>
    <w:p w14:paraId="7F9417A9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2E55ABE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DF0C280">
      <w:pPr>
        <w:pStyle w:val="4"/>
        <w:sectPr>
          <w:pgSz w:w="11900" w:h="16840"/>
          <w:pgMar w:top="1746" w:right="100" w:bottom="0" w:left="1241" w:header="720" w:footer="720" w:gutter="0"/>
          <w:pgNumType w:start="1"/>
          <w:cols w:space="720" w:num="1"/>
          <w:docGrid w:linePitch="1" w:charSpace="0"/>
        </w:sectPr>
      </w:pPr>
    </w:p>
    <w:p w14:paraId="74223241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F34B93D">
      <w:pPr>
        <w:spacing w:before="0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bookmarkStart w:id="4" w:name="br5"/>
      <w:bookmarkEnd w:id="4"/>
      <w:r>
        <w:pict>
          <v:shape id="_x0000_s1027" o:spid="_x0000_s1027" o:spt="75" type="#_x0000_t75" style="position:absolute;left:0pt;margin-left:-1pt;margin-top:-1pt;height:3pt;width:3pt;mso-position-horizontal-relative:page;mso-position-vertical-relative:page;z-index:-25150566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_s1028" o:spid="_x0000_s1028" o:spt="75" type="#_x0000_t75" style="position:absolute;left:0pt;margin-left:248.95pt;margin-top:733.85pt;height:3pt;width:74pt;mso-position-horizontal-relative:page;mso-position-vertical-relative:page;z-index:-251506688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pict>
          <v:shape id="_x0000_s1029" o:spid="_x0000_s1029" o:spt="75" type="#_x0000_t75" style="position:absolute;left:0pt;margin-left:237.55pt;margin-top:764.1pt;height:3pt;width:146pt;mso-position-horizontal-relative:page;mso-position-vertical-relative:page;z-index:-251507712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rPr>
          <w:rFonts w:ascii="LDJKVE+TimesNewRomanPSMT"/>
          <w:color w:val="000000"/>
          <w:spacing w:val="3"/>
          <w:sz w:val="32"/>
        </w:rPr>
        <w:t>3</w:t>
      </w:r>
      <w:r>
        <w:rPr>
          <w:rFonts w:ascii="仿宋" w:hAnsi="仿宋" w:cs="仿宋"/>
          <w:color w:val="000000"/>
          <w:spacing w:val="0"/>
          <w:sz w:val="32"/>
        </w:rPr>
        <w:t>、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仿宋" w:hAnsi="仿宋" w:cs="仿宋"/>
          <w:color w:val="000000"/>
          <w:spacing w:val="3"/>
          <w:sz w:val="32"/>
        </w:rPr>
        <w:t>承担院校医学教育、毕业后医学教育（含住院医师规范</w:t>
      </w:r>
    </w:p>
    <w:p w14:paraId="43427821">
      <w:pPr>
        <w:spacing w:before="24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化培训）和继续医学教育，不断提升医学人才能力素质和工作水</w:t>
      </w:r>
    </w:p>
    <w:p w14:paraId="6F42C5F0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平。</w:t>
      </w:r>
    </w:p>
    <w:p w14:paraId="4A8928B9">
      <w:pPr>
        <w:spacing w:before="261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1"/>
          <w:sz w:val="32"/>
        </w:rPr>
        <w:t>4</w:t>
      </w:r>
      <w:r>
        <w:rPr>
          <w:rFonts w:ascii="仿宋" w:hAnsi="仿宋" w:cs="仿宋"/>
          <w:color w:val="000000"/>
          <w:spacing w:val="0"/>
          <w:sz w:val="32"/>
        </w:rPr>
        <w:t>、开展临床医学和基础医学研究，推动医学科技成果转化。</w:t>
      </w:r>
    </w:p>
    <w:p w14:paraId="4D603C9A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1"/>
          <w:sz w:val="32"/>
        </w:rPr>
        <w:t>5</w:t>
      </w:r>
      <w:r>
        <w:rPr>
          <w:rFonts w:ascii="仿宋" w:hAnsi="仿宋" w:cs="仿宋"/>
          <w:color w:val="000000"/>
          <w:spacing w:val="-3"/>
          <w:sz w:val="32"/>
        </w:rPr>
        <w:t>、按照通辽市人民政府和上级卫生主管部门批准的范围开展</w:t>
      </w:r>
    </w:p>
    <w:p w14:paraId="571CC675">
      <w:pPr>
        <w:spacing w:before="24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对外技术交流和国际合作。</w:t>
      </w:r>
    </w:p>
    <w:p w14:paraId="0C7AFBD0">
      <w:pPr>
        <w:spacing w:before="261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1"/>
          <w:sz w:val="32"/>
        </w:rPr>
        <w:t>6</w:t>
      </w:r>
      <w:r>
        <w:rPr>
          <w:rFonts w:ascii="仿宋" w:hAnsi="仿宋" w:cs="仿宋"/>
          <w:color w:val="000000"/>
          <w:spacing w:val="-3"/>
          <w:sz w:val="32"/>
        </w:rPr>
        <w:t>、按照通辽市人民政府和上级卫生主管部门批准的范围开展</w:t>
      </w:r>
    </w:p>
    <w:p w14:paraId="60DD2916">
      <w:pPr>
        <w:spacing w:before="24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涉外医疗服务，承担重大活动医疗保障任务，承担突发公共事件</w:t>
      </w:r>
    </w:p>
    <w:p w14:paraId="09DBC80C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的医疗卫生救助。</w:t>
      </w:r>
    </w:p>
    <w:p w14:paraId="282C48A2">
      <w:pPr>
        <w:spacing w:before="261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1"/>
          <w:sz w:val="32"/>
        </w:rPr>
        <w:t>7</w:t>
      </w:r>
      <w:r>
        <w:rPr>
          <w:rFonts w:ascii="仿宋" w:hAnsi="仿宋" w:cs="仿宋"/>
          <w:color w:val="000000"/>
          <w:spacing w:val="-3"/>
          <w:sz w:val="32"/>
        </w:rPr>
        <w:t>、根据规划和需求，经通辽市人民政府和上级卫生主管部门</w:t>
      </w:r>
    </w:p>
    <w:p w14:paraId="4FFC5B81">
      <w:pPr>
        <w:spacing w:before="24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批准，可与社会力量合作在人才、管理、服务、技术、品牌等方</w:t>
      </w:r>
    </w:p>
    <w:p w14:paraId="75A286FD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面建立协议合作关系。</w:t>
      </w:r>
    </w:p>
    <w:p w14:paraId="36A30910">
      <w:pPr>
        <w:spacing w:before="261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1"/>
          <w:sz w:val="32"/>
        </w:rPr>
        <w:t>8</w:t>
      </w:r>
      <w:r>
        <w:rPr>
          <w:rFonts w:ascii="仿宋" w:hAnsi="仿宋" w:cs="仿宋"/>
          <w:color w:val="000000"/>
          <w:spacing w:val="0"/>
          <w:sz w:val="32"/>
        </w:rPr>
        <w:t>、经诊、双向转诊、急慢分治、上下联动的分级诊疗模式。</w:t>
      </w:r>
    </w:p>
    <w:p w14:paraId="54FC1BA9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1"/>
          <w:sz w:val="32"/>
        </w:rPr>
        <w:t>9</w:t>
      </w:r>
      <w:r>
        <w:rPr>
          <w:rFonts w:ascii="仿宋" w:hAnsi="仿宋" w:cs="仿宋"/>
          <w:color w:val="000000"/>
          <w:spacing w:val="0"/>
          <w:sz w:val="32"/>
        </w:rPr>
        <w:t>、开展对口帮扶、送医下乡等健康扶贫和志愿者服务工作。</w:t>
      </w:r>
    </w:p>
    <w:p w14:paraId="3A0732A3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1"/>
          <w:sz w:val="32"/>
        </w:rPr>
        <w:t>10</w:t>
      </w:r>
      <w:r>
        <w:rPr>
          <w:rFonts w:ascii="仿宋" w:hAnsi="仿宋" w:cs="仿宋"/>
          <w:color w:val="000000"/>
          <w:spacing w:val="0"/>
          <w:sz w:val="32"/>
        </w:rPr>
        <w:t>、承担上级党委和政府交办的其他事项。</w:t>
      </w:r>
    </w:p>
    <w:p w14:paraId="6217EF31">
      <w:pPr>
        <w:spacing w:before="806" w:after="0" w:line="429" w:lineRule="exact"/>
        <w:ind w:left="1414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UJUFN+FZXBSJW--GB1-0" w:hAnsi="WUJUFN+FZXBSJW--GB1-0" w:cs="WUJUFN+FZXBSJW--GB1-0"/>
          <w:color w:val="000000"/>
          <w:spacing w:val="0"/>
          <w:sz w:val="36"/>
        </w:rPr>
        <w:t>第二部分</w:t>
      </w:r>
      <w:r>
        <w:rPr>
          <w:rFonts w:ascii="Times New Roman"/>
          <w:color w:val="000000"/>
          <w:spacing w:val="270"/>
          <w:sz w:val="36"/>
        </w:rPr>
        <w:t xml:space="preserve"> </w:t>
      </w:r>
      <w:r>
        <w:rPr>
          <w:rFonts w:ascii="WUJUFN+FZXBSJW--GB1-0"/>
          <w:color w:val="000000"/>
          <w:spacing w:val="0"/>
          <w:sz w:val="36"/>
        </w:rPr>
        <w:t>2025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WUJUFN+FZXBSJW--GB1-0" w:hAnsi="WUJUFN+FZXBSJW--GB1-0" w:cs="WUJUFN+FZXBSJW--GB1-0"/>
          <w:color w:val="000000"/>
          <w:spacing w:val="0"/>
          <w:sz w:val="36"/>
        </w:rPr>
        <w:t>年度单位预算情况说明</w:t>
      </w:r>
    </w:p>
    <w:p w14:paraId="5742E28E">
      <w:pPr>
        <w:spacing w:before="811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一、收支预算总体情况说明</w:t>
      </w:r>
    </w:p>
    <w:p w14:paraId="6F14EF57">
      <w:pPr>
        <w:spacing w:before="270" w:after="0" w:line="330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  <w:u w:val="single"/>
        </w:rPr>
        <w:t>通</w:t>
      </w:r>
      <w:r>
        <w:rPr>
          <w:rFonts w:ascii="Times New Roman"/>
          <w:color w:val="000000"/>
          <w:spacing w:val="22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  <w:u w:val="single"/>
        </w:rPr>
        <w:t>辽</w:t>
      </w:r>
      <w:r>
        <w:rPr>
          <w:rFonts w:ascii="Times New Roman"/>
          <w:color w:val="000000"/>
          <w:spacing w:val="22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  <w:u w:val="single"/>
        </w:rPr>
        <w:t>市</w:t>
      </w:r>
      <w:r>
        <w:rPr>
          <w:rFonts w:ascii="Times New Roman"/>
          <w:color w:val="000000"/>
          <w:spacing w:val="22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  <w:u w:val="single"/>
        </w:rPr>
        <w:t>人</w:t>
      </w:r>
      <w:r>
        <w:rPr>
          <w:rFonts w:ascii="Times New Roman"/>
          <w:color w:val="000000"/>
          <w:spacing w:val="22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  <w:u w:val="single"/>
        </w:rPr>
        <w:t>民</w:t>
      </w:r>
      <w:r>
        <w:rPr>
          <w:rFonts w:ascii="Times New Roman"/>
          <w:color w:val="000000"/>
          <w:spacing w:val="22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  <w:u w:val="single"/>
        </w:rPr>
        <w:t>医</w:t>
      </w:r>
      <w:r>
        <w:rPr>
          <w:rFonts w:ascii="Times New Roman"/>
          <w:color w:val="000000"/>
          <w:spacing w:val="22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  <w:u w:val="single"/>
        </w:rPr>
        <w:t>院</w:t>
      </w:r>
      <w:r>
        <w:rPr>
          <w:rFonts w:ascii="Times New Roman"/>
          <w:color w:val="000000"/>
          <w:spacing w:val="102"/>
          <w:sz w:val="32"/>
          <w:u w:val="single"/>
        </w:rPr>
        <w:t xml:space="preserve"> </w:t>
      </w:r>
      <w:r>
        <w:rPr>
          <w:rFonts w:ascii="仿宋"/>
          <w:color w:val="000000"/>
          <w:spacing w:val="0"/>
          <w:sz w:val="32"/>
        </w:rPr>
        <w:t>2025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度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收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入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、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支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出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预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算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总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计</w:t>
      </w:r>
    </w:p>
    <w:p w14:paraId="5049E8DF">
      <w:pPr>
        <w:spacing w:before="270" w:after="0" w:line="33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  <w:u w:val="single"/>
        </w:rPr>
        <w:t>169,690.469063</w:t>
      </w:r>
      <w:r>
        <w:rPr>
          <w:rFonts w:ascii="Times New Roman"/>
          <w:color w:val="000000"/>
          <w:spacing w:val="314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38"/>
          <w:sz w:val="32"/>
        </w:rPr>
        <w:t>万元，与上年相比收、支预算总计各增加</w:t>
      </w:r>
    </w:p>
    <w:p w14:paraId="7A03E556">
      <w:pPr>
        <w:spacing w:before="270" w:after="0" w:line="33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  <w:u w:val="single"/>
        </w:rPr>
        <w:t>29,951.169063</w:t>
      </w:r>
      <w:r>
        <w:rPr>
          <w:rFonts w:ascii="Times New Roman"/>
          <w:color w:val="000000"/>
          <w:spacing w:val="0"/>
          <w:sz w:val="32"/>
          <w:u w:val="single"/>
        </w:rPr>
        <w:t xml:space="preserve"> </w:t>
      </w:r>
      <w:r>
        <w:rPr>
          <w:rFonts w:ascii="Times New Roman"/>
          <w:color w:val="000000"/>
          <w:spacing w:val="-8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万元，增长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21.43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%。其中：</w:t>
      </w:r>
    </w:p>
    <w:p w14:paraId="717E4911">
      <w:pPr>
        <w:spacing w:before="271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1"/>
          <w:sz w:val="32"/>
        </w:rPr>
        <w:t>（一）收入预算总计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169,690.469063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楷体" w:hAnsi="楷体" w:cs="楷体"/>
          <w:color w:val="000000"/>
          <w:spacing w:val="1"/>
          <w:sz w:val="32"/>
        </w:rPr>
        <w:t>万元。包括：</w:t>
      </w:r>
    </w:p>
    <w:p w14:paraId="22CB3FCE">
      <w:pPr>
        <w:spacing w:before="384" w:after="0" w:line="260" w:lineRule="exact"/>
        <w:ind w:left="40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等线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-</w:t>
      </w:r>
    </w:p>
    <w:p w14:paraId="6F13D1E2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F269145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3E8835B">
      <w:pPr>
        <w:spacing w:before="0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bookmarkStart w:id="5" w:name="br6"/>
      <w:bookmarkEnd w:id="5"/>
      <w:r>
        <w:pict>
          <v:shape id="_x0000_s1030" o:spid="_x0000_s1030" o:spt="75" type="#_x0000_t75" style="position:absolute;left:0pt;margin-left:212.95pt;margin-top:104.1pt;height:3pt;width:86pt;mso-position-horizontal-relative:page;mso-position-vertical-relative:page;z-index:-25150873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  <w:r>
        <w:pict>
          <v:shape id="_x0000_s1031" o:spid="_x0000_s1031" o:spt="75" type="#_x0000_t75" style="position:absolute;left:0pt;margin-left:290.95pt;margin-top:134.1pt;height:3pt;width:66.05pt;mso-position-horizontal-relative:page;mso-position-vertical-relative:page;z-index:-251509760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  <w:r>
        <w:pict>
          <v:shape id="_x0000_s1032" o:spid="_x0000_s1032" o:spt="75" type="#_x0000_t75" style="position:absolute;left:0pt;margin-left:61pt;margin-top:164.1pt;height:3pt;width:62pt;mso-position-horizontal-relative:page;mso-position-vertical-relative:page;z-index:-251510784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</w:pict>
      </w:r>
      <w:r>
        <w:pict>
          <v:shape id="_x0000_s1033" o:spid="_x0000_s1033" o:spt="75" type="#_x0000_t75" style="position:absolute;left:0pt;margin-left:197pt;margin-top:164.1pt;height:3pt;width:58pt;mso-position-horizontal-relative:page;mso-position-vertical-relative:page;z-index:-251511808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</v:shape>
        </w:pict>
      </w:r>
      <w:r>
        <w:pict>
          <v:shape id="_x0000_s1034" o:spid="_x0000_s1034" o:spt="75" type="#_x0000_t75" style="position:absolute;left:0pt;margin-left:485pt;margin-top:254.1pt;height:3pt;width:14pt;mso-position-horizontal-relative:page;mso-position-vertical-relative:page;z-index:-251512832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pict>
          <v:shape id="_x0000_s1035" o:spid="_x0000_s1035" o:spt="75" type="#_x0000_t75" style="position:absolute;left:0pt;margin-left:125pt;margin-top:284.1pt;height:3pt;width:41.95pt;mso-position-horizontal-relative:page;mso-position-vertical-relative:page;z-index:-251513856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pict>
          <v:shape id="_x0000_s1036" o:spid="_x0000_s1036" o:spt="75" type="#_x0000_t75" style="position:absolute;left:0pt;margin-left:-1pt;margin-top:-1pt;height:3pt;width:3pt;mso-position-horizontal-relative:page;mso-position-vertical-relative:page;z-index:-251514880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pict>
          <v:shape id="_x0000_s1037" o:spid="_x0000_s1037" o:spt="75" type="#_x0000_t75" style="position:absolute;left:0pt;margin-left:140.95pt;margin-top:344.1pt;height:3pt;width:42.05pt;mso-position-horizontal-relative:page;mso-position-vertical-relative:page;z-index:-251515904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038" o:spid="_x0000_s1038" o:spt="75" type="#_x0000_t75" style="position:absolute;left:0pt;margin-left:461pt;margin-top:374.1pt;height:3pt;width:14pt;mso-position-horizontal-relative:page;mso-position-vertical-relative:page;z-index:-251516928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039" o:spid="_x0000_s1039" o:spt="75" type="#_x0000_t75" style="position:absolute;left:0pt;margin-left:92.95pt;margin-top:404.1pt;height:3pt;width:42.05pt;mso-position-horizontal-relative:page;mso-position-vertical-relative:page;z-index:-251517952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040" o:spid="_x0000_s1040" o:spt="75" type="#_x0000_t75" style="position:absolute;left:0pt;margin-left:200.6pt;margin-top:434.1pt;height:3pt;width:96.65pt;mso-position-horizontal-relative:page;mso-position-vertical-relative:page;z-index:-251518976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041" o:spid="_x0000_s1041" o:spt="75" type="#_x0000_t75" style="position:absolute;left:0pt;margin-left:140.95pt;margin-top:464.1pt;height:3pt;width:78.05pt;mso-position-horizontal-relative:page;mso-position-vertical-relative:page;z-index:-251520000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042" o:spid="_x0000_s1042" o:spt="75" type="#_x0000_t75" style="position:absolute;left:0pt;margin-left:438.3pt;margin-top:494.1pt;height:3pt;width:14pt;mso-position-horizontal-relative:page;mso-position-vertical-relative:page;z-index:-251521024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pict>
          <v:shape id="_x0000_s1043" o:spid="_x0000_s1043" o:spt="75" type="#_x0000_t75" style="position:absolute;left:0pt;margin-left:77pt;margin-top:524.1pt;height:3pt;width:41.95pt;mso-position-horizontal-relative:page;mso-position-vertical-relative:page;z-index:-251522048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044" o:spid="_x0000_s1044" o:spt="75" type="#_x0000_t75" style="position:absolute;left:0pt;margin-left:418.6pt;margin-top:554.1pt;height:3pt;width:14.4pt;mso-position-horizontal-relative:page;mso-position-vertical-relative:page;z-index:-251523072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045" o:spid="_x0000_s1045" o:spt="75" type="#_x0000_t75" style="position:absolute;left:0pt;margin-left:61pt;margin-top:584.1pt;height:3pt;width:26pt;mso-position-horizontal-relative:page;mso-position-vertical-relative:page;z-index:-251524096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046" o:spid="_x0000_s1046" o:spt="75" type="#_x0000_t75" style="position:absolute;left:0pt;margin-left:438.3pt;margin-top:614.1pt;height:3pt;width:14pt;mso-position-horizontal-relative:page;mso-position-vertical-relative:page;z-index:-251525120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pict>
          <v:shape id="_x0000_s1047" o:spid="_x0000_s1047" o:spt="75" type="#_x0000_t75" style="position:absolute;left:0pt;margin-left:77pt;margin-top:644.1pt;height:3pt;width:41.95pt;mso-position-horizontal-relative:page;mso-position-vertical-relative:page;z-index:-251526144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048" o:spid="_x0000_s1048" o:spt="75" type="#_x0000_t75" style="position:absolute;left:0pt;margin-left:368.95pt;margin-top:674.1pt;height:3pt;width:14pt;mso-position-horizontal-relative:page;mso-position-vertical-relative:page;z-index:-251527168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049" o:spid="_x0000_s1049" o:spt="75" type="#_x0000_t75" style="position:absolute;left:0pt;margin-left:457pt;margin-top:674.1pt;height:3pt;width:42pt;mso-position-horizontal-relative:page;mso-position-vertical-relative:page;z-index:-251528192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050" o:spid="_x0000_s1050" o:spt="75" type="#_x0000_t75" style="position:absolute;left:0pt;margin-left:242.95pt;margin-top:764.1pt;height:3pt;width:58.05pt;mso-position-horizontal-relative:page;mso-position-vertical-relative:page;z-index:-251529216;mso-width-relative:page;mso-height-relative:page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</v:shape>
        </w:pict>
      </w:r>
      <w:r>
        <w:rPr>
          <w:rFonts w:ascii="LDJKVE+TimesNewRomanPSMT"/>
          <w:color w:val="000000"/>
          <w:spacing w:val="1"/>
          <w:sz w:val="32"/>
        </w:rPr>
        <w:t>1</w:t>
      </w:r>
      <w:r>
        <w:rPr>
          <w:rFonts w:ascii="仿宋" w:hAnsi="仿宋" w:cs="仿宋"/>
          <w:color w:val="000000"/>
          <w:spacing w:val="0"/>
          <w:sz w:val="32"/>
        </w:rPr>
        <w:t>．本年收入合计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168,400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万元。</w:t>
      </w:r>
    </w:p>
    <w:p w14:paraId="184830EE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（</w:t>
      </w:r>
      <w:r>
        <w:rPr>
          <w:rFonts w:ascii="LDJKVE+TimesNewRomanPSMT"/>
          <w:color w:val="000000"/>
          <w:spacing w:val="-2"/>
          <w:sz w:val="32"/>
        </w:rPr>
        <w:t>1</w:t>
      </w:r>
      <w:r>
        <w:rPr>
          <w:rFonts w:ascii="仿宋" w:hAnsi="仿宋" w:cs="仿宋"/>
          <w:color w:val="000000"/>
          <w:spacing w:val="-4"/>
          <w:sz w:val="32"/>
        </w:rPr>
        <w:t>）一般公共预算拨款收入</w:t>
      </w:r>
      <w:r>
        <w:rPr>
          <w:rFonts w:ascii="Times New Roman"/>
          <w:color w:val="000000"/>
          <w:spacing w:val="403"/>
          <w:sz w:val="32"/>
        </w:rPr>
        <w:t xml:space="preserve"> </w:t>
      </w:r>
      <w:r>
        <w:rPr>
          <w:rFonts w:ascii="LDJKVE+TimesNewRomanPSMT"/>
          <w:color w:val="000000"/>
          <w:spacing w:val="1"/>
          <w:sz w:val="32"/>
        </w:rPr>
        <w:t>400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仿宋" w:hAnsi="仿宋" w:cs="仿宋"/>
          <w:color w:val="000000"/>
          <w:spacing w:val="-4"/>
          <w:sz w:val="32"/>
        </w:rPr>
        <w:t>万元，与上年相比减少</w:t>
      </w:r>
    </w:p>
    <w:p w14:paraId="655F4466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0"/>
          <w:sz w:val="32"/>
        </w:rPr>
        <w:t>1339.3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-16"/>
          <w:sz w:val="32"/>
        </w:rPr>
        <w:t>万元，减少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LDJKVE+TimesNewRomanPSMT"/>
          <w:color w:val="000000"/>
          <w:spacing w:val="1"/>
          <w:sz w:val="32"/>
        </w:rPr>
        <w:t>77</w:t>
      </w:r>
      <w:r>
        <w:rPr>
          <w:rFonts w:ascii="Times New Roman"/>
          <w:color w:val="000000"/>
          <w:spacing w:val="400"/>
          <w:sz w:val="32"/>
        </w:rPr>
        <w:t xml:space="preserve"> </w:t>
      </w:r>
      <w:r>
        <w:rPr>
          <w:rFonts w:ascii="仿宋" w:hAnsi="仿宋" w:cs="仿宋"/>
          <w:color w:val="000000"/>
          <w:spacing w:val="-5"/>
          <w:sz w:val="32"/>
        </w:rPr>
        <w:t>%。主要原因是离休干部人数减少导致</w:t>
      </w:r>
    </w:p>
    <w:p w14:paraId="105521F8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离休老干部医药费项目金额减少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200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 w:hAnsi="仿宋" w:cs="仿宋"/>
          <w:color w:val="000000"/>
          <w:spacing w:val="3"/>
          <w:sz w:val="32"/>
        </w:rPr>
        <w:t>万元；且年初无提前下达项</w:t>
      </w:r>
    </w:p>
    <w:p w14:paraId="00D8FA01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目减少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621.3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万元；人员定向补助项目取消减少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518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万元。</w:t>
      </w:r>
    </w:p>
    <w:p w14:paraId="30A5912A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（</w:t>
      </w:r>
      <w:r>
        <w:rPr>
          <w:rFonts w:ascii="LDJKVE+TimesNewRomanPSMT"/>
          <w:color w:val="000000"/>
          <w:spacing w:val="-2"/>
          <w:sz w:val="32"/>
        </w:rPr>
        <w:t>2</w:t>
      </w:r>
      <w:r>
        <w:rPr>
          <w:rFonts w:ascii="仿宋" w:hAnsi="仿宋" w:cs="仿宋"/>
          <w:color w:val="000000"/>
          <w:spacing w:val="-3"/>
          <w:sz w:val="32"/>
        </w:rPr>
        <w:t>）政府性基金预算拨款收入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4"/>
          <w:sz w:val="32"/>
        </w:rPr>
        <w:t>万元，与上年相比增加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</w:t>
      </w:r>
    </w:p>
    <w:p w14:paraId="74F3D334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元，增长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%。主要原因是不存在此项内容。</w:t>
      </w:r>
    </w:p>
    <w:p w14:paraId="2F03AB2A">
      <w:pPr>
        <w:spacing w:before="236" w:after="0" w:line="364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（</w:t>
      </w:r>
      <w:r>
        <w:rPr>
          <w:rFonts w:ascii="LDJKVE+TimesNewRomanPSMT"/>
          <w:color w:val="000000"/>
          <w:spacing w:val="-2"/>
          <w:sz w:val="32"/>
        </w:rPr>
        <w:t>3</w:t>
      </w:r>
      <w:r>
        <w:rPr>
          <w:rFonts w:ascii="仿宋" w:hAnsi="仿宋" w:cs="仿宋"/>
          <w:color w:val="000000"/>
          <w:spacing w:val="0"/>
          <w:sz w:val="32"/>
        </w:rPr>
        <w:t>）国有资本经营预算拨款收入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万元，与上年相比增加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  <w:u w:val="single"/>
        </w:rPr>
        <w:t>0</w:t>
      </w:r>
    </w:p>
    <w:p w14:paraId="5681B15F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万元，增长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%。主要原因是不存在此项内容。</w:t>
      </w:r>
    </w:p>
    <w:p w14:paraId="78B012AE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（</w:t>
      </w:r>
      <w:r>
        <w:rPr>
          <w:rFonts w:ascii="LDJKVE+TimesNewRomanPSMT"/>
          <w:color w:val="000000"/>
          <w:spacing w:val="-2"/>
          <w:sz w:val="32"/>
        </w:rPr>
        <w:t>4</w:t>
      </w:r>
      <w:r>
        <w:rPr>
          <w:rFonts w:ascii="仿宋" w:hAnsi="仿宋" w:cs="仿宋"/>
          <w:color w:val="000000"/>
          <w:spacing w:val="-11"/>
          <w:sz w:val="32"/>
        </w:rPr>
        <w:t>）财政专户管理资金收入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12"/>
          <w:sz w:val="32"/>
        </w:rPr>
        <w:t>万元，与上年相比增加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</w:t>
      </w:r>
    </w:p>
    <w:p w14:paraId="0749CE00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增长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%。主要原因是不存在此项内容。</w:t>
      </w:r>
    </w:p>
    <w:p w14:paraId="6AAF391E">
      <w:pPr>
        <w:spacing w:before="236" w:after="0" w:line="364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1"/>
          <w:sz w:val="32"/>
        </w:rPr>
        <w:t>（</w:t>
      </w:r>
      <w:r>
        <w:rPr>
          <w:rFonts w:ascii="LDJKVE+TimesNewRomanPSMT"/>
          <w:color w:val="000000"/>
          <w:spacing w:val="10"/>
          <w:sz w:val="32"/>
        </w:rPr>
        <w:t>5</w:t>
      </w:r>
      <w:r>
        <w:rPr>
          <w:rFonts w:ascii="仿宋" w:hAnsi="仿宋" w:cs="仿宋"/>
          <w:color w:val="000000"/>
          <w:spacing w:val="11"/>
          <w:sz w:val="32"/>
        </w:rPr>
        <w:t>）事业收入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168,000</w:t>
      </w:r>
      <w:r>
        <w:rPr>
          <w:rFonts w:ascii="Times New Roman"/>
          <w:color w:val="000000"/>
          <w:spacing w:val="432"/>
          <w:sz w:val="32"/>
        </w:rPr>
        <w:t xml:space="preserve"> </w:t>
      </w:r>
      <w:r>
        <w:rPr>
          <w:rFonts w:ascii="仿宋" w:hAnsi="仿宋" w:cs="仿宋"/>
          <w:color w:val="000000"/>
          <w:spacing w:val="10"/>
          <w:sz w:val="32"/>
        </w:rPr>
        <w:t>万元，与上年相比增加</w:t>
      </w:r>
      <w:r>
        <w:rPr>
          <w:rFonts w:ascii="Times New Roman"/>
          <w:color w:val="000000"/>
          <w:spacing w:val="-76"/>
          <w:sz w:val="32"/>
        </w:rPr>
        <w:t xml:space="preserve"> 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  <w:u w:val="single"/>
        </w:rPr>
        <w:t>30,000</w:t>
      </w:r>
    </w:p>
    <w:p w14:paraId="07277447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万元，增长</w:t>
      </w:r>
      <w:r>
        <w:rPr>
          <w:rFonts w:ascii="Times New Roman"/>
          <w:color w:val="000000"/>
          <w:spacing w:val="399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21.74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%。主要原因是预计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2025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年搬迁新院址。</w:t>
      </w:r>
    </w:p>
    <w:p w14:paraId="20530A22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（</w:t>
      </w:r>
      <w:r>
        <w:rPr>
          <w:rFonts w:ascii="LDJKVE+TimesNewRomanPSMT"/>
          <w:color w:val="000000"/>
          <w:spacing w:val="-2"/>
          <w:sz w:val="32"/>
        </w:rPr>
        <w:t>6</w:t>
      </w:r>
      <w:r>
        <w:rPr>
          <w:rFonts w:ascii="仿宋" w:hAnsi="仿宋" w:cs="仿宋"/>
          <w:color w:val="000000"/>
          <w:spacing w:val="-4"/>
          <w:sz w:val="32"/>
        </w:rPr>
        <w:t>）事业单位经营收入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3"/>
          <w:sz w:val="32"/>
        </w:rPr>
        <w:t>万元，与上年相比增加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7"/>
          <w:sz w:val="32"/>
        </w:rPr>
        <w:t>万元，增</w:t>
      </w:r>
    </w:p>
    <w:p w14:paraId="1E4BFE79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长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%。主要原因是不存在此项内容。</w:t>
      </w:r>
    </w:p>
    <w:p w14:paraId="3023948A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9"/>
          <w:sz w:val="32"/>
        </w:rPr>
        <w:t>（</w:t>
      </w:r>
      <w:r>
        <w:rPr>
          <w:rFonts w:ascii="LDJKVE+TimesNewRomanPSMT"/>
          <w:color w:val="000000"/>
          <w:spacing w:val="10"/>
          <w:sz w:val="32"/>
        </w:rPr>
        <w:t>7</w:t>
      </w:r>
      <w:r>
        <w:rPr>
          <w:rFonts w:ascii="仿宋" w:hAnsi="仿宋" w:cs="仿宋"/>
          <w:color w:val="000000"/>
          <w:spacing w:val="10"/>
          <w:sz w:val="32"/>
        </w:rPr>
        <w:t>）上级补助收入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仿宋" w:hAnsi="仿宋" w:cs="仿宋"/>
          <w:color w:val="000000"/>
          <w:spacing w:val="10"/>
          <w:sz w:val="32"/>
        </w:rPr>
        <w:t>万元，与上年相比增加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仿宋" w:hAnsi="仿宋" w:cs="仿宋"/>
          <w:color w:val="000000"/>
          <w:spacing w:val="9"/>
          <w:sz w:val="32"/>
        </w:rPr>
        <w:t>万元，增长</w:t>
      </w:r>
    </w:p>
    <w:p w14:paraId="016AB7BA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%。主要原因是不存在此项内容。</w:t>
      </w:r>
    </w:p>
    <w:p w14:paraId="6700104E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（</w:t>
      </w:r>
      <w:r>
        <w:rPr>
          <w:rFonts w:ascii="LDJKVE+TimesNewRomanPSMT"/>
          <w:color w:val="000000"/>
          <w:spacing w:val="-2"/>
          <w:sz w:val="32"/>
        </w:rPr>
        <w:t>8</w:t>
      </w:r>
      <w:r>
        <w:rPr>
          <w:rFonts w:ascii="仿宋" w:hAnsi="仿宋" w:cs="仿宋"/>
          <w:color w:val="000000"/>
          <w:spacing w:val="-4"/>
          <w:sz w:val="32"/>
        </w:rPr>
        <w:t>）附属单位上缴收入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3"/>
          <w:sz w:val="32"/>
        </w:rPr>
        <w:t>万元，与上年相比增加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7"/>
          <w:sz w:val="32"/>
        </w:rPr>
        <w:t>万元，增</w:t>
      </w:r>
    </w:p>
    <w:p w14:paraId="7B5BBDA1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长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%。主要原因是不存在此项内容。</w:t>
      </w:r>
    </w:p>
    <w:p w14:paraId="00157EAE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（</w:t>
      </w:r>
      <w:r>
        <w:rPr>
          <w:rFonts w:ascii="LDJKVE+TimesNewRomanPSMT"/>
          <w:color w:val="000000"/>
          <w:spacing w:val="-2"/>
          <w:sz w:val="32"/>
        </w:rPr>
        <w:t>9</w:t>
      </w:r>
      <w:r>
        <w:rPr>
          <w:rFonts w:ascii="仿宋" w:hAnsi="仿宋" w:cs="仿宋"/>
          <w:color w:val="000000"/>
          <w:spacing w:val="-16"/>
          <w:sz w:val="32"/>
        </w:rPr>
        <w:t>）其他收入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8"/>
          <w:sz w:val="32"/>
        </w:rPr>
        <w:t>万元，与上年相比增加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16"/>
          <w:sz w:val="32"/>
        </w:rPr>
        <w:t>万元，增长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%。</w:t>
      </w:r>
    </w:p>
    <w:p w14:paraId="1DEE92CE">
      <w:pPr>
        <w:spacing w:before="24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主要原因是不存在此项内容。</w:t>
      </w:r>
    </w:p>
    <w:p w14:paraId="279023D5">
      <w:pPr>
        <w:spacing w:before="260" w:after="0" w:line="364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-3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．</w:t>
      </w:r>
      <w:r>
        <w:rPr>
          <w:rFonts w:ascii="Times New Roman"/>
          <w:color w:val="000000"/>
          <w:spacing w:val="-30"/>
          <w:sz w:val="32"/>
        </w:rPr>
        <w:t xml:space="preserve"> </w:t>
      </w:r>
      <w:r>
        <w:rPr>
          <w:rFonts w:ascii="仿宋" w:hAnsi="仿宋" w:cs="仿宋"/>
          <w:color w:val="000000"/>
          <w:spacing w:val="47"/>
          <w:sz w:val="32"/>
        </w:rPr>
        <w:t>上年</w:t>
      </w:r>
      <w:r>
        <w:rPr>
          <w:rFonts w:ascii="Times New Roman"/>
          <w:color w:val="000000"/>
          <w:spacing w:val="-78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结</w:t>
      </w:r>
      <w:r>
        <w:rPr>
          <w:rFonts w:ascii="Times New Roman"/>
          <w:color w:val="000000"/>
          <w:spacing w:val="-3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转</w:t>
      </w:r>
      <w:r>
        <w:rPr>
          <w:rFonts w:ascii="Times New Roman"/>
          <w:color w:val="000000"/>
          <w:spacing w:val="-30"/>
          <w:sz w:val="32"/>
        </w:rPr>
        <w:t xml:space="preserve"> </w:t>
      </w:r>
      <w:r>
        <w:rPr>
          <w:rFonts w:ascii="仿宋" w:hAnsi="仿宋" w:cs="仿宋"/>
          <w:color w:val="000000"/>
          <w:spacing w:val="47"/>
          <w:sz w:val="32"/>
        </w:rPr>
        <w:t>结余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  <w:u w:val="single"/>
        </w:rPr>
        <w:t>1,290.469063</w:t>
      </w:r>
      <w:r>
        <w:rPr>
          <w:rFonts w:ascii="Times New Roman"/>
          <w:color w:val="000000"/>
          <w:spacing w:val="46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</w:t>
      </w:r>
      <w:r>
        <w:rPr>
          <w:rFonts w:ascii="Times New Roman"/>
          <w:color w:val="000000"/>
          <w:spacing w:val="-3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元</w:t>
      </w:r>
      <w:r>
        <w:rPr>
          <w:rFonts w:ascii="Times New Roman"/>
          <w:color w:val="000000"/>
          <w:spacing w:val="-30"/>
          <w:sz w:val="32"/>
        </w:rPr>
        <w:t xml:space="preserve"> </w:t>
      </w:r>
      <w:r>
        <w:rPr>
          <w:rFonts w:ascii="仿宋" w:hAnsi="仿宋" w:cs="仿宋"/>
          <w:color w:val="000000"/>
          <w:spacing w:val="47"/>
          <w:sz w:val="32"/>
        </w:rPr>
        <w:t>，与</w:t>
      </w:r>
      <w:r>
        <w:rPr>
          <w:rFonts w:ascii="Times New Roman"/>
          <w:color w:val="000000"/>
          <w:spacing w:val="-78"/>
          <w:sz w:val="32"/>
        </w:rPr>
        <w:t xml:space="preserve"> </w:t>
      </w:r>
      <w:r>
        <w:rPr>
          <w:rFonts w:ascii="仿宋" w:hAnsi="仿宋" w:cs="仿宋"/>
          <w:color w:val="000000"/>
          <w:spacing w:val="47"/>
          <w:sz w:val="32"/>
        </w:rPr>
        <w:t>上年</w:t>
      </w:r>
      <w:r>
        <w:rPr>
          <w:rFonts w:ascii="Times New Roman"/>
          <w:color w:val="000000"/>
          <w:spacing w:val="-78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相</w:t>
      </w:r>
      <w:r>
        <w:rPr>
          <w:rFonts w:ascii="Times New Roman"/>
          <w:color w:val="000000"/>
          <w:spacing w:val="-3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比</w:t>
      </w:r>
      <w:r>
        <w:rPr>
          <w:rFonts w:ascii="Times New Roman"/>
          <w:color w:val="000000"/>
          <w:spacing w:val="-3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增</w:t>
      </w:r>
      <w:r>
        <w:rPr>
          <w:rFonts w:ascii="Times New Roman"/>
          <w:color w:val="000000"/>
          <w:spacing w:val="-3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加</w:t>
      </w:r>
    </w:p>
    <w:p w14:paraId="5F32D5FD">
      <w:pPr>
        <w:spacing w:before="236" w:after="0" w:line="36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0"/>
          <w:sz w:val="32"/>
          <w:u w:val="single"/>
        </w:rPr>
        <w:t>1,290.469063</w:t>
      </w:r>
      <w:r>
        <w:rPr>
          <w:rFonts w:ascii="Times New Roman"/>
          <w:color w:val="000000"/>
          <w:spacing w:val="238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-8"/>
          <w:sz w:val="32"/>
        </w:rPr>
        <w:t>万元，增长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100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-3"/>
          <w:sz w:val="32"/>
        </w:rPr>
        <w:t>%。主要原因是年初预算核算口</w:t>
      </w:r>
    </w:p>
    <w:p w14:paraId="6E5D03FC">
      <w:pPr>
        <w:spacing w:before="360" w:after="0" w:line="260" w:lineRule="exact"/>
        <w:ind w:left="40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等线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-</w:t>
      </w:r>
    </w:p>
    <w:p w14:paraId="3A67F5C0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5877127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8DBB241">
      <w:pPr>
        <w:pStyle w:val="4"/>
        <w:sectPr>
          <w:pgSz w:w="11900" w:h="16840"/>
          <w:pgMar w:top="1776" w:right="100" w:bottom="0" w:left="1241" w:header="720" w:footer="720" w:gutter="0"/>
          <w:pgNumType w:start="1"/>
          <w:cols w:space="720" w:num="1"/>
          <w:docGrid w:linePitch="1" w:charSpace="0"/>
        </w:sectPr>
      </w:pPr>
    </w:p>
    <w:p w14:paraId="0D0153A0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6A8B736">
      <w:pPr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bookmarkStart w:id="6" w:name="br7"/>
      <w:bookmarkEnd w:id="6"/>
      <w:r>
        <w:pict>
          <v:shape id="_x0000_s1051" o:spid="_x0000_s1051" o:spt="75" type="#_x0000_t75" style="position:absolute;left:0pt;margin-left:237.55pt;margin-top:134.1pt;height:3pt;width:137.95pt;mso-position-horizontal-relative:page;mso-position-vertical-relative:page;z-index:-251530240;mso-width-relative:page;mso-height-relative:page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</v:shape>
        </w:pict>
      </w:r>
      <w:r>
        <w:pict>
          <v:shape id="_x0000_s1052" o:spid="_x0000_s1052" o:spt="75" type="#_x0000_t75" style="position:absolute;left:0pt;margin-left:212.95pt;margin-top:164.1pt;height:3pt;width:146pt;mso-position-horizontal-relative:page;mso-position-vertical-relative:page;z-index:-251531264;mso-width-relative:page;mso-height-relative:page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</v:shape>
        </w:pict>
      </w:r>
      <w:r>
        <w:pict>
          <v:shape id="_x0000_s1053" o:spid="_x0000_s1053" o:spt="75" type="#_x0000_t75" style="position:absolute;left:0pt;margin-left:-1pt;margin-top:-1pt;height:3pt;width:3pt;mso-position-horizontal-relative:page;mso-position-vertical-relative:page;z-index:-251532288;mso-width-relative:page;mso-height-relative:page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</v:shape>
        </w:pict>
      </w:r>
      <w:r>
        <w:pict>
          <v:shape id="_x0000_s1054" o:spid="_x0000_s1054" o:spt="75" type="#_x0000_t75" style="position:absolute;left:0pt;margin-left:234.4pt;margin-top:554.1pt;height:3pt;width:22.2pt;mso-position-horizontal-relative:page;mso-position-vertical-relative:page;z-index:-251533312;mso-width-relative:page;mso-height-relative:page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</v:shape>
        </w:pict>
      </w:r>
      <w:r>
        <w:pict>
          <v:shape id="_x0000_s1055" o:spid="_x0000_s1055" o:spt="75" type="#_x0000_t75" style="position:absolute;left:0pt;margin-left:208pt;margin-top:674.1pt;height:3pt;width:12.95pt;mso-position-horizontal-relative:page;mso-position-vertical-relative:page;z-index:-251534336;mso-width-relative:page;mso-height-relative:page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</v:shape>
        </w:pict>
      </w:r>
      <w:r>
        <w:pict>
          <v:shape id="_x0000_s1056" o:spid="_x0000_s1056" o:spt="75" type="#_x0000_t75" style="position:absolute;left:0pt;margin-left:374pt;margin-top:674.1pt;height:3pt;width:13pt;mso-position-horizontal-relative:page;mso-position-vertical-relative:page;z-index:-251535360;mso-width-relative:page;mso-height-relative:page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</v:shape>
        </w:pict>
      </w:r>
      <w:r>
        <w:pict>
          <v:shape id="_x0000_s1057" o:spid="_x0000_s1057" o:spt="75" type="#_x0000_t75" style="position:absolute;left:0pt;margin-left:457pt;margin-top:674.1pt;height:3pt;width:42pt;mso-position-horizontal-relative:page;mso-position-vertical-relative:page;z-index:-251536384;mso-width-relative:page;mso-height-relative:page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</v:shape>
        </w:pict>
      </w:r>
      <w:r>
        <w:rPr>
          <w:rFonts w:ascii="仿宋" w:hAnsi="仿宋" w:cs="仿宋"/>
          <w:color w:val="000000"/>
          <w:spacing w:val="0"/>
          <w:sz w:val="32"/>
        </w:rPr>
        <w:t>径有所区别。</w:t>
      </w:r>
    </w:p>
    <w:p w14:paraId="072D35A8">
      <w:pPr>
        <w:spacing w:before="261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1"/>
          <w:sz w:val="32"/>
        </w:rPr>
        <w:t>（二）支出预算总计</w:t>
      </w:r>
      <w:r>
        <w:rPr>
          <w:rFonts w:ascii="Times New Roman"/>
          <w:color w:val="000000"/>
          <w:spacing w:val="400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169,690.469063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楷体" w:hAnsi="楷体" w:cs="楷体"/>
          <w:color w:val="000000"/>
          <w:spacing w:val="1"/>
          <w:sz w:val="32"/>
        </w:rPr>
        <w:t>万元。包括：</w:t>
      </w:r>
    </w:p>
    <w:p w14:paraId="5B4EBCCD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1"/>
          <w:sz w:val="32"/>
        </w:rPr>
        <w:t>1</w:t>
      </w:r>
      <w:r>
        <w:rPr>
          <w:rFonts w:ascii="仿宋" w:hAnsi="仿宋" w:cs="仿宋"/>
          <w:color w:val="000000"/>
          <w:spacing w:val="0"/>
          <w:sz w:val="32"/>
        </w:rPr>
        <w:t>．本年支出合计</w:t>
      </w:r>
      <w:r>
        <w:rPr>
          <w:rFonts w:ascii="Times New Roman"/>
          <w:color w:val="000000"/>
          <w:spacing w:val="399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169,690.469063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万元。</w:t>
      </w:r>
    </w:p>
    <w:p w14:paraId="24CDD480">
      <w:pPr>
        <w:spacing w:before="236" w:after="0" w:line="364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（</w:t>
      </w:r>
      <w:r>
        <w:rPr>
          <w:rFonts w:ascii="LDJKVE+TimesNewRomanPSMT"/>
          <w:color w:val="000000"/>
          <w:spacing w:val="1"/>
          <w:sz w:val="32"/>
        </w:rPr>
        <w:t>1</w:t>
      </w:r>
      <w:r>
        <w:rPr>
          <w:rFonts w:ascii="仿宋" w:hAnsi="仿宋" w:cs="仿宋"/>
          <w:color w:val="000000"/>
          <w:spacing w:val="-3"/>
          <w:sz w:val="32"/>
        </w:rPr>
        <w:t>）社会保障和就业支出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LDJKVE+TimesNewRomanPSMT"/>
          <w:color w:val="000000"/>
          <w:spacing w:val="-1"/>
          <w:sz w:val="32"/>
          <w:u w:val="single"/>
        </w:rPr>
        <w:t>2,110.815379</w:t>
      </w:r>
      <w:r>
        <w:rPr>
          <w:rFonts w:ascii="Times New Roman"/>
          <w:color w:val="000000"/>
          <w:spacing w:val="-2"/>
          <w:sz w:val="32"/>
          <w:u w:val="single"/>
        </w:rPr>
        <w:t xml:space="preserve"> </w:t>
      </w:r>
      <w:r>
        <w:rPr>
          <w:rFonts w:ascii="Times New Roman"/>
          <w:color w:val="000000"/>
          <w:spacing w:val="-79"/>
          <w:sz w:val="32"/>
        </w:rPr>
        <w:t xml:space="preserve"> </w:t>
      </w:r>
      <w:r>
        <w:rPr>
          <w:rFonts w:ascii="仿宋" w:hAnsi="仿宋" w:cs="仿宋"/>
          <w:color w:val="000000"/>
          <w:spacing w:val="-4"/>
          <w:sz w:val="32"/>
        </w:rPr>
        <w:t>万元，主要用于在编</w:t>
      </w:r>
    </w:p>
    <w:p w14:paraId="3F8E85F2">
      <w:pPr>
        <w:spacing w:before="237" w:after="0" w:line="363" w:lineRule="exact"/>
        <w:ind w:left="31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人员基本养老保险缴费。与上年相比减少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  <w:u w:val="single"/>
        </w:rPr>
        <w:t>1,848.184621</w:t>
      </w:r>
      <w:r>
        <w:rPr>
          <w:rFonts w:ascii="Times New Roman"/>
          <w:color w:val="000000"/>
          <w:spacing w:val="2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4"/>
          <w:sz w:val="32"/>
        </w:rPr>
        <w:t>万元，</w:t>
      </w:r>
    </w:p>
    <w:p w14:paraId="6B5922A8">
      <w:pPr>
        <w:spacing w:before="238" w:after="0" w:line="363" w:lineRule="exact"/>
        <w:ind w:left="31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减少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46.68</w:t>
      </w:r>
      <w:r>
        <w:rPr>
          <w:rFonts w:ascii="仿宋" w:hAnsi="仿宋" w:cs="仿宋"/>
          <w:color w:val="000000"/>
          <w:spacing w:val="3"/>
          <w:sz w:val="32"/>
        </w:rPr>
        <w:t>%。主要原因是年初预算核算口径有所区别，今年未</w:t>
      </w:r>
    </w:p>
    <w:p w14:paraId="78031749">
      <w:pPr>
        <w:spacing w:before="247" w:after="0" w:line="329" w:lineRule="exact"/>
        <w:ind w:left="31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包含备案制人员基本养老保险缴费。</w:t>
      </w:r>
    </w:p>
    <w:p w14:paraId="4884BA7A">
      <w:pPr>
        <w:spacing w:before="260" w:after="0" w:line="364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（</w:t>
      </w:r>
      <w:r>
        <w:rPr>
          <w:rFonts w:ascii="LDJKVE+TimesNewRomanPSMT"/>
          <w:color w:val="000000"/>
          <w:spacing w:val="-2"/>
          <w:sz w:val="32"/>
        </w:rPr>
        <w:t>2</w:t>
      </w:r>
      <w:r>
        <w:rPr>
          <w:rFonts w:ascii="仿宋" w:hAnsi="仿宋" w:cs="仿宋"/>
          <w:color w:val="000000"/>
          <w:spacing w:val="-17"/>
          <w:sz w:val="32"/>
        </w:rPr>
        <w:t>）卫生健康支出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  <w:u w:val="single"/>
        </w:rPr>
        <w:t>166,026.614699</w:t>
      </w:r>
      <w:r>
        <w:rPr>
          <w:rFonts w:ascii="Times New Roman"/>
          <w:color w:val="000000"/>
          <w:spacing w:val="0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-10"/>
          <w:sz w:val="32"/>
        </w:rPr>
        <w:t>万元，主要用于人员工资、</w:t>
      </w:r>
    </w:p>
    <w:p w14:paraId="564336CF">
      <w:pPr>
        <w:spacing w:before="24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专用材料费用、专业设备购置、信息化建设等机构运转支出。与</w:t>
      </w:r>
    </w:p>
    <w:p w14:paraId="5D898362">
      <w:pPr>
        <w:spacing w:before="261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上年相比增加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  <w:u w:val="single"/>
        </w:rPr>
        <w:t>323,28.934699</w:t>
      </w:r>
      <w:r>
        <w:rPr>
          <w:rFonts w:ascii="Times New Roman"/>
          <w:color w:val="000000"/>
          <w:spacing w:val="-2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-8"/>
          <w:sz w:val="32"/>
        </w:rPr>
        <w:t>万元，增长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  <w:u w:val="single"/>
        </w:rPr>
        <w:t>24.18</w:t>
      </w:r>
      <w:r>
        <w:rPr>
          <w:rFonts w:ascii="仿宋"/>
          <w:color w:val="000000"/>
          <w:spacing w:val="-2"/>
          <w:sz w:val="32"/>
          <w:u w:val="single"/>
        </w:rPr>
        <w:t>%</w:t>
      </w:r>
      <w:r>
        <w:rPr>
          <w:rFonts w:ascii="仿宋" w:hAnsi="仿宋" w:cs="仿宋"/>
          <w:color w:val="000000"/>
          <w:spacing w:val="-5"/>
          <w:sz w:val="32"/>
        </w:rPr>
        <w:t>。主要原因是预计</w:t>
      </w:r>
    </w:p>
    <w:p w14:paraId="3DDF6B67">
      <w:pPr>
        <w:spacing w:before="238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0"/>
          <w:sz w:val="32"/>
        </w:rPr>
        <w:t>2025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年搬迁新院址导致支出增长。</w:t>
      </w:r>
    </w:p>
    <w:p w14:paraId="5167BF6E">
      <w:pPr>
        <w:spacing w:before="236" w:after="0" w:line="364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（</w:t>
      </w:r>
      <w:r>
        <w:rPr>
          <w:rFonts w:ascii="LDJKVE+TimesNewRomanPSMT"/>
          <w:color w:val="000000"/>
          <w:spacing w:val="-2"/>
          <w:sz w:val="32"/>
        </w:rPr>
        <w:t>3</w:t>
      </w:r>
      <w:r>
        <w:rPr>
          <w:rFonts w:ascii="仿宋" w:hAnsi="仿宋" w:cs="仿宋"/>
          <w:color w:val="000000"/>
          <w:spacing w:val="-5"/>
          <w:sz w:val="32"/>
        </w:rPr>
        <w:t>）住房保障支出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  <w:u w:val="single"/>
        </w:rPr>
        <w:t>1,543.038985</w:t>
      </w:r>
      <w:r>
        <w:rPr>
          <w:rFonts w:ascii="Times New Roman"/>
          <w:color w:val="000000"/>
          <w:spacing w:val="0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-3"/>
          <w:sz w:val="32"/>
        </w:rPr>
        <w:t>万元，主要用于在编及备案</w:t>
      </w:r>
    </w:p>
    <w:p w14:paraId="028FF57D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制人员住房公积金缴费。与上年相比减少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  <w:u w:val="single"/>
        </w:rPr>
        <w:t>539.581015</w:t>
      </w:r>
      <w:r>
        <w:rPr>
          <w:rFonts w:ascii="Times New Roman"/>
          <w:color w:val="000000"/>
          <w:spacing w:val="0"/>
          <w:sz w:val="32"/>
          <w:u w:val="single"/>
        </w:rPr>
        <w:t xml:space="preserve"> </w:t>
      </w:r>
      <w:r>
        <w:rPr>
          <w:rFonts w:ascii="Times New Roman"/>
          <w:color w:val="000000"/>
          <w:spacing w:val="-8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万元，减少</w:t>
      </w:r>
    </w:p>
    <w:p w14:paraId="36BFF5CD">
      <w:pPr>
        <w:spacing w:before="237" w:after="0" w:line="36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0"/>
          <w:sz w:val="32"/>
          <w:u w:val="single"/>
        </w:rPr>
        <w:t>25.9</w:t>
      </w:r>
      <w:r>
        <w:rPr>
          <w:rFonts w:ascii="仿宋"/>
          <w:color w:val="000000"/>
          <w:spacing w:val="1"/>
          <w:sz w:val="32"/>
          <w:u w:val="single"/>
        </w:rPr>
        <w:t>%</w:t>
      </w:r>
      <w:r>
        <w:rPr>
          <w:rFonts w:ascii="仿宋" w:hAnsi="仿宋" w:cs="仿宋"/>
          <w:color w:val="000000"/>
          <w:spacing w:val="-4"/>
          <w:sz w:val="32"/>
        </w:rPr>
        <w:t>。主要原因是年初预算核算口径有所区别</w:t>
      </w:r>
      <w:r>
        <w:rPr>
          <w:rFonts w:ascii="LDJKVE+TimesNewRomanPSMT"/>
          <w:color w:val="000000"/>
          <w:spacing w:val="2"/>
          <w:sz w:val="32"/>
        </w:rPr>
        <w:t>,</w:t>
      </w:r>
      <w:r>
        <w:rPr>
          <w:rFonts w:ascii="仿宋" w:hAnsi="仿宋" w:cs="仿宋"/>
          <w:color w:val="000000"/>
          <w:spacing w:val="0"/>
          <w:sz w:val="32"/>
        </w:rPr>
        <w:t>今年未包含备案制</w:t>
      </w:r>
    </w:p>
    <w:p w14:paraId="5534D21A">
      <w:pPr>
        <w:spacing w:before="24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人员住房公积金缴费。</w:t>
      </w:r>
    </w:p>
    <w:p w14:paraId="494CE509">
      <w:pPr>
        <w:spacing w:before="261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（</w:t>
      </w:r>
      <w:r>
        <w:rPr>
          <w:rFonts w:ascii="LDJKVE+TimesNewRomanPSMT"/>
          <w:color w:val="000000"/>
          <w:spacing w:val="3"/>
          <w:sz w:val="32"/>
        </w:rPr>
        <w:t>4</w:t>
      </w:r>
      <w:r>
        <w:rPr>
          <w:rFonts w:ascii="仿宋" w:hAnsi="仿宋" w:cs="仿宋"/>
          <w:color w:val="000000"/>
          <w:spacing w:val="3"/>
          <w:sz w:val="32"/>
        </w:rPr>
        <w:t>）科学技术支出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LDJKVE+TimesNewRomanPSMT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3"/>
          <w:sz w:val="32"/>
        </w:rPr>
        <w:t>万元，主要用于在腺相关病毒载体搭</w:t>
      </w:r>
    </w:p>
    <w:p w14:paraId="406BF647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载野生型或突变型</w:t>
      </w:r>
      <w:r>
        <w:rPr>
          <w:rFonts w:ascii="LDJKVE+TimesNewRomanPSMT"/>
          <w:color w:val="000000"/>
          <w:spacing w:val="0"/>
          <w:sz w:val="32"/>
        </w:rPr>
        <w:t>Nr2e3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经视网膜下腔注射后对</w:t>
      </w:r>
      <w:r>
        <w:rPr>
          <w:rFonts w:ascii="LDJKVE+TimesNewRomanPSMT"/>
          <w:color w:val="000000"/>
          <w:spacing w:val="0"/>
          <w:sz w:val="32"/>
        </w:rPr>
        <w:t>Nr2e3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基因敲除</w:t>
      </w:r>
    </w:p>
    <w:p w14:paraId="0E236484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小鼠视网膜表型变化及其机制研究。与上年相比增加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LDJKVE+TimesNewRomanPSMT"/>
          <w:color w:val="000000"/>
          <w:spacing w:val="1"/>
          <w:sz w:val="32"/>
          <w:u w:val="single"/>
        </w:rPr>
        <w:t>10</w:t>
      </w:r>
      <w:r>
        <w:rPr>
          <w:rFonts w:ascii="Times New Roman"/>
          <w:color w:val="000000"/>
          <w:spacing w:val="-1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  <w:u w:val="single"/>
        </w:rPr>
        <w:t>万元</w:t>
      </w:r>
      <w:r>
        <w:rPr>
          <w:rFonts w:ascii="仿宋" w:hAnsi="仿宋" w:cs="仿宋"/>
          <w:color w:val="000000"/>
          <w:spacing w:val="-39"/>
          <w:sz w:val="32"/>
        </w:rPr>
        <w:t>，增</w:t>
      </w:r>
    </w:p>
    <w:p w14:paraId="0D5CC013">
      <w:pPr>
        <w:spacing w:before="238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长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  <w:u w:val="single"/>
        </w:rPr>
        <w:t>100</w:t>
      </w:r>
      <w:r>
        <w:rPr>
          <w:rFonts w:ascii="仿宋"/>
          <w:color w:val="000000"/>
          <w:spacing w:val="1"/>
          <w:sz w:val="32"/>
          <w:u w:val="single"/>
        </w:rPr>
        <w:t>%</w:t>
      </w:r>
      <w:r>
        <w:rPr>
          <w:rFonts w:ascii="仿宋" w:hAnsi="仿宋" w:cs="仿宋"/>
          <w:color w:val="000000"/>
          <w:spacing w:val="0"/>
          <w:sz w:val="32"/>
        </w:rPr>
        <w:t>。主要原因是年初预算核算口径有所区别。</w:t>
      </w:r>
    </w:p>
    <w:p w14:paraId="7802B616">
      <w:pPr>
        <w:spacing w:before="238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1"/>
          <w:sz w:val="32"/>
        </w:rPr>
        <w:t>2</w:t>
      </w:r>
      <w:r>
        <w:rPr>
          <w:rFonts w:ascii="仿宋" w:hAnsi="仿宋" w:cs="仿宋"/>
          <w:color w:val="000000"/>
          <w:spacing w:val="-23"/>
          <w:sz w:val="32"/>
        </w:rPr>
        <w:t>．年终结转结余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-22"/>
          <w:sz w:val="32"/>
        </w:rPr>
        <w:t xml:space="preserve"> </w:t>
      </w:r>
      <w:r>
        <w:rPr>
          <w:rFonts w:ascii="仿宋" w:hAnsi="仿宋" w:cs="仿宋"/>
          <w:color w:val="000000"/>
          <w:spacing w:val="-16"/>
          <w:sz w:val="32"/>
        </w:rPr>
        <w:t>万元，与上年相比增加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-19"/>
          <w:sz w:val="32"/>
        </w:rPr>
        <w:t xml:space="preserve"> </w:t>
      </w:r>
      <w:r>
        <w:rPr>
          <w:rFonts w:ascii="仿宋" w:hAnsi="仿宋" w:cs="仿宋"/>
          <w:color w:val="000000"/>
          <w:spacing w:val="-32"/>
          <w:sz w:val="32"/>
        </w:rPr>
        <w:t>万元，增长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%。</w:t>
      </w:r>
    </w:p>
    <w:p w14:paraId="7617A207">
      <w:pPr>
        <w:spacing w:before="24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主要原因是不存在此项内容。</w:t>
      </w:r>
    </w:p>
    <w:p w14:paraId="57352AAC">
      <w:pPr>
        <w:spacing w:before="871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二、收入预算情况说明</w:t>
      </w:r>
    </w:p>
    <w:p w14:paraId="71FF0711">
      <w:pPr>
        <w:spacing w:before="384" w:after="0" w:line="260" w:lineRule="exact"/>
        <w:ind w:left="40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等线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-</w:t>
      </w:r>
    </w:p>
    <w:p w14:paraId="3B76962F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A78C7F3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4E9845B">
      <w:pPr>
        <w:pStyle w:val="4"/>
        <w:sectPr>
          <w:pgSz w:w="11900" w:h="16840"/>
          <w:pgMar w:top="1786" w:right="100" w:bottom="0" w:left="1241" w:header="720" w:footer="720" w:gutter="0"/>
          <w:pgNumType w:start="1"/>
          <w:cols w:space="720" w:num="1"/>
          <w:docGrid w:linePitch="1" w:charSpace="0"/>
        </w:sectPr>
      </w:pPr>
    </w:p>
    <w:p w14:paraId="4ED7DBBD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95DC1CA">
      <w:pPr>
        <w:spacing w:before="0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bookmarkStart w:id="7" w:name="br8"/>
      <w:bookmarkEnd w:id="7"/>
      <w:r>
        <w:pict>
          <v:shape id="_x0000_s1058" o:spid="_x0000_s1058" o:spt="75" type="#_x0000_t75" style="position:absolute;left:0pt;margin-left:-1pt;margin-top:-1pt;height:3pt;width:3pt;mso-position-horizontal-relative:page;mso-position-vertical-relative:page;z-index:-251537408;mso-width-relative:page;mso-height-relative:page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</v:shape>
        </w:pict>
      </w:r>
      <w:r>
        <w:pict>
          <v:shape id="_x0000_s1059" o:spid="_x0000_s1059" o:spt="75" type="#_x0000_t75" style="position:absolute;left:0pt;margin-left:187pt;margin-top:134.1pt;height:3pt;width:93.95pt;mso-position-horizontal-relative:page;mso-position-vertical-relative:page;z-index:-251538432;mso-width-relative:page;mso-height-relative:page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</v:shape>
        </w:pict>
      </w:r>
      <w:r>
        <w:pict>
          <v:shape id="_x0000_s1060" o:spid="_x0000_s1060" o:spt="75" type="#_x0000_t75" style="position:absolute;left:0pt;margin-left:253pt;margin-top:194.1pt;height:3pt;width:66pt;mso-position-horizontal-relative:page;mso-position-vertical-relative:page;z-index:-251539456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  <w:r>
        <w:pict>
          <v:shape id="_x0000_s1061" o:spid="_x0000_s1061" o:spt="75" type="#_x0000_t75" style="position:absolute;left:0pt;margin-left:380.95pt;margin-top:194.1pt;height:3pt;width:62pt;mso-position-horizontal-relative:page;mso-position-vertical-relative:page;z-index:-251540480;mso-width-relative:page;mso-height-relative:page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</v:shape>
        </w:pict>
      </w:r>
      <w:r>
        <w:pict>
          <v:shape id="_x0000_s1062" o:spid="_x0000_s1062" o:spt="75" type="#_x0000_t75" style="position:absolute;left:0pt;margin-left:269pt;margin-top:224.1pt;height:3pt;width:50pt;mso-position-horizontal-relative:page;mso-position-vertical-relative:page;z-index:-251541504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</v:shape>
        </w:pict>
      </w:r>
      <w:r>
        <w:pict>
          <v:shape id="_x0000_s1063" o:spid="_x0000_s1063" o:spt="75" type="#_x0000_t75" style="position:absolute;left:0pt;margin-left:380.95pt;margin-top:224.1pt;height:3pt;width:50pt;mso-position-horizontal-relative:page;mso-position-vertical-relative:page;z-index:-251542528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</v:shape>
        </w:pict>
      </w:r>
      <w:r>
        <w:pict>
          <v:shape id="_x0000_s1064" o:spid="_x0000_s1064" o:spt="75" type="#_x0000_t75" style="position:absolute;left:0pt;margin-left:284.95pt;margin-top:254.1pt;height:3pt;width:50pt;mso-position-horizontal-relative:page;mso-position-vertical-relative:page;z-index:-251543552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</v:shape>
        </w:pict>
      </w:r>
      <w:r>
        <w:pict>
          <v:shape id="_x0000_s1065" o:spid="_x0000_s1065" o:spt="75" type="#_x0000_t75" style="position:absolute;left:0pt;margin-left:397pt;margin-top:254.1pt;height:3pt;width:50pt;mso-position-horizontal-relative:page;mso-position-vertical-relative:page;z-index:-251544576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</v:shape>
        </w:pict>
      </w:r>
      <w:r>
        <w:pict>
          <v:shape id="_x0000_s1066" o:spid="_x0000_s1066" o:spt="75" type="#_x0000_t75" style="position:absolute;left:0pt;margin-left:253pt;margin-top:284.1pt;height:3pt;width:50pt;mso-position-horizontal-relative:page;mso-position-vertical-relative:page;z-index:-251545600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</v:shape>
        </w:pict>
      </w:r>
      <w:r>
        <w:pict>
          <v:shape id="_x0000_s1067" o:spid="_x0000_s1067" o:spt="75" type="#_x0000_t75" style="position:absolute;left:0pt;margin-left:365pt;margin-top:284.1pt;height:3pt;width:50pt;mso-position-horizontal-relative:page;mso-position-vertical-relative:page;z-index:-251546624;mso-width-relative:page;mso-height-relative:page;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</v:shape>
        </w:pict>
      </w:r>
      <w:r>
        <w:pict>
          <v:shape id="_x0000_s1068" o:spid="_x0000_s1068" o:spt="75" type="#_x0000_t75" style="position:absolute;left:0pt;margin-left:188.95pt;margin-top:314.1pt;height:3pt;width:94.05pt;mso-position-horizontal-relative:page;mso-position-vertical-relative:page;z-index:-251547648;mso-width-relative:page;mso-height-relative:page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</v:shape>
        </w:pict>
      </w:r>
      <w:r>
        <w:pict>
          <v:shape id="_x0000_s1069" o:spid="_x0000_s1069" o:spt="75" type="#_x0000_t75" style="position:absolute;left:0pt;margin-left:344.95pt;margin-top:314.1pt;height:3pt;width:58.05pt;mso-position-horizontal-relative:page;mso-position-vertical-relative:page;z-index:-251548672;mso-width-relative:page;mso-height-relative:page;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</v:shape>
        </w:pict>
      </w:r>
      <w:r>
        <w:pict>
          <v:shape id="_x0000_s1070" o:spid="_x0000_s1070" o:spt="75" type="#_x0000_t75" style="position:absolute;left:0pt;margin-left:253pt;margin-top:344.1pt;height:3pt;width:50pt;mso-position-horizontal-relative:page;mso-position-vertical-relative:page;z-index:-251549696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</v:shape>
        </w:pict>
      </w:r>
      <w:r>
        <w:pict>
          <v:shape id="_x0000_s1071" o:spid="_x0000_s1071" o:spt="75" type="#_x0000_t75" style="position:absolute;left:0pt;margin-left:365pt;margin-top:344.1pt;height:3pt;width:50pt;mso-position-horizontal-relative:page;mso-position-vertical-relative:page;z-index:-251550720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</v:shape>
        </w:pict>
      </w:r>
      <w:r>
        <w:pict>
          <v:shape id="_x0000_s1072" o:spid="_x0000_s1072" o:spt="75" type="#_x0000_t75" style="position:absolute;left:0pt;margin-left:221pt;margin-top:374.1pt;height:3pt;width:50pt;mso-position-horizontal-relative:page;mso-position-vertical-relative:page;z-index:-251551744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</v:shape>
        </w:pict>
      </w:r>
      <w:r>
        <w:pict>
          <v:shape id="_x0000_s1073" o:spid="_x0000_s1073" o:spt="75" type="#_x0000_t75" style="position:absolute;left:0pt;margin-left:332.95pt;margin-top:374.1pt;height:3pt;width:50pt;mso-position-horizontal-relative:page;mso-position-vertical-relative:page;z-index:-251552768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</v:shape>
        </w:pict>
      </w:r>
      <w:r>
        <w:pict>
          <v:shape id="_x0000_s1074" o:spid="_x0000_s1074" o:spt="75" type="#_x0000_t75" style="position:absolute;left:0pt;margin-left:253pt;margin-top:404.1pt;height:3pt;width:50pt;mso-position-horizontal-relative:page;mso-position-vertical-relative:page;z-index:-251553792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</v:shape>
        </w:pict>
      </w:r>
      <w:r>
        <w:pict>
          <v:shape id="_x0000_s1075" o:spid="_x0000_s1075" o:spt="75" type="#_x0000_t75" style="position:absolute;left:0pt;margin-left:365pt;margin-top:404.1pt;height:3pt;width:50pt;mso-position-horizontal-relative:page;mso-position-vertical-relative:page;z-index:-251554816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</v:shape>
        </w:pict>
      </w:r>
      <w:r>
        <w:pict>
          <v:shape id="_x0000_s1076" o:spid="_x0000_s1076" o:spt="75" type="#_x0000_t75" style="position:absolute;left:0pt;margin-left:188.95pt;margin-top:434.1pt;height:3pt;width:50pt;mso-position-horizontal-relative:page;mso-position-vertical-relative:page;z-index:-251555840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</v:shape>
        </w:pict>
      </w:r>
      <w:r>
        <w:pict>
          <v:shape id="_x0000_s1077" o:spid="_x0000_s1077" o:spt="75" type="#_x0000_t75" style="position:absolute;left:0pt;margin-left:301pt;margin-top:434.1pt;height:3pt;width:50pt;mso-position-horizontal-relative:page;mso-position-vertical-relative:page;z-index:-251556864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</v:shape>
        </w:pict>
      </w:r>
      <w:r>
        <w:pict>
          <v:shape id="_x0000_s1078" o:spid="_x0000_s1078" o:spt="75" type="#_x0000_t75" style="position:absolute;left:0pt;margin-left:349pt;margin-top:524.1pt;height:3pt;width:50pt;mso-position-horizontal-relative:page;mso-position-vertical-relative:page;z-index:-251557888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</v:shape>
        </w:pict>
      </w:r>
      <w:r>
        <w:pict>
          <v:shape id="_x0000_s1079" o:spid="_x0000_s1079" o:spt="75" type="#_x0000_t75" style="position:absolute;left:0pt;margin-left:457pt;margin-top:524.1pt;height:3pt;width:50pt;mso-position-horizontal-relative:page;mso-position-vertical-relative:page;z-index:-251558912;mso-width-relative:page;mso-height-relative:page;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</v:shape>
        </w:pict>
      </w:r>
      <w:r>
        <w:pict>
          <v:shape id="_x0000_s1080" o:spid="_x0000_s1080" o:spt="75" type="#_x0000_t75" style="position:absolute;left:0pt;margin-left:365pt;margin-top:554.1pt;height:3pt;width:26pt;mso-position-horizontal-relative:page;mso-position-vertical-relative:page;z-index:-251559936;mso-width-relative:page;mso-height-relative:page;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</v:shape>
        </w:pict>
      </w:r>
      <w:r>
        <w:pict>
          <v:shape id="_x0000_s1081" o:spid="_x0000_s1081" o:spt="75" type="#_x0000_t75" style="position:absolute;left:0pt;margin-left:449pt;margin-top:554.1pt;height:3pt;width:50pt;mso-position-horizontal-relative:page;mso-position-vertical-relative:page;z-index:-251560960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</v:shape>
        </w:pict>
      </w:r>
      <w:r>
        <w:pict>
          <v:shape id="_x0000_s1082" o:spid="_x0000_s1082" o:spt="75" type="#_x0000_t75" style="position:absolute;left:0pt;margin-left:332.95pt;margin-top:584.1pt;height:3pt;width:50pt;mso-position-horizontal-relative:page;mso-position-vertical-relative:page;z-index:-251561984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</v:shape>
        </w:pict>
      </w:r>
      <w:r>
        <w:pict>
          <v:shape id="_x0000_s1083" o:spid="_x0000_s1083" o:spt="75" type="#_x0000_t75" style="position:absolute;left:0pt;margin-left:445pt;margin-top:584.1pt;height:3pt;width:50pt;mso-position-horizontal-relative:page;mso-position-vertical-relative:page;z-index:-251563008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</v:shape>
        </w:pict>
      </w:r>
      <w:r>
        <w:pict>
          <v:shape id="_x0000_s1084" o:spid="_x0000_s1084" o:spt="75" type="#_x0000_t75" style="position:absolute;left:0pt;margin-left:269pt;margin-top:614.1pt;height:3pt;width:50pt;mso-position-horizontal-relative:page;mso-position-vertical-relative:page;z-index:-251564032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</v:shape>
        </w:pict>
      </w:r>
      <w:r>
        <w:pict>
          <v:shape id="_x0000_s1085" o:spid="_x0000_s1085" o:spt="75" type="#_x0000_t75" style="position:absolute;left:0pt;margin-left:380.95pt;margin-top:614.1pt;height:3pt;width:50pt;mso-position-horizontal-relative:page;mso-position-vertical-relative:page;z-index:-251565056;mso-width-relative:page;mso-height-relative:page;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</v:shape>
        </w:pict>
      </w:r>
      <w:r>
        <w:rPr>
          <w:rFonts w:ascii="仿宋" w:hAnsi="仿宋" w:cs="仿宋"/>
          <w:color w:val="000000"/>
          <w:spacing w:val="0"/>
          <w:sz w:val="32"/>
          <w:u w:val="single"/>
        </w:rPr>
        <w:t>通辽市人民医院</w:t>
      </w:r>
      <w:r>
        <w:rPr>
          <w:rFonts w:ascii="Times New Roman"/>
          <w:color w:val="000000"/>
          <w:spacing w:val="1"/>
          <w:sz w:val="32"/>
          <w:u w:val="single"/>
        </w:rPr>
        <w:t xml:space="preserve"> </w:t>
      </w:r>
      <w:r>
        <w:rPr>
          <w:rFonts w:ascii="仿宋"/>
          <w:color w:val="000000"/>
          <w:spacing w:val="0"/>
          <w:sz w:val="32"/>
        </w:rPr>
        <w:t>2025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年度收入预算总计</w:t>
      </w:r>
      <w:r>
        <w:rPr>
          <w:rFonts w:ascii="Times New Roman"/>
          <w:color w:val="000000"/>
          <w:spacing w:val="-18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  <w:u w:val="single"/>
        </w:rPr>
        <w:t>169,690.469063</w:t>
      </w:r>
      <w:r>
        <w:rPr>
          <w:rFonts w:ascii="Times New Roman"/>
          <w:color w:val="000000"/>
          <w:spacing w:val="259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</w:t>
      </w:r>
    </w:p>
    <w:p w14:paraId="1A44FA74">
      <w:pPr>
        <w:spacing w:before="237" w:after="0" w:line="36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5"/>
          <w:sz w:val="32"/>
        </w:rPr>
        <w:t>元，包括本年收入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168,400</w:t>
      </w:r>
      <w:r>
        <w:rPr>
          <w:rFonts w:ascii="Times New Roman"/>
          <w:color w:val="000000"/>
          <w:spacing w:val="398"/>
          <w:sz w:val="32"/>
        </w:rPr>
        <w:t xml:space="preserve"> </w:t>
      </w:r>
      <w:r>
        <w:rPr>
          <w:rFonts w:ascii="仿宋" w:hAnsi="仿宋" w:cs="仿宋"/>
          <w:color w:val="000000"/>
          <w:spacing w:val="-4"/>
          <w:sz w:val="32"/>
        </w:rPr>
        <w:t>万元，上年结转结余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  <w:u w:val="single"/>
        </w:rPr>
        <w:t>1,290.469063</w:t>
      </w:r>
    </w:p>
    <w:p w14:paraId="3950C6E5">
      <w:pPr>
        <w:spacing w:before="24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万元。其中：</w:t>
      </w:r>
    </w:p>
    <w:p w14:paraId="75F0B905">
      <w:pPr>
        <w:spacing w:before="261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本年一般公共预算收入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LDJKVE+TimesNewRomanPSMT"/>
          <w:color w:val="000000"/>
          <w:spacing w:val="1"/>
          <w:sz w:val="32"/>
        </w:rPr>
        <w:t>400</w:t>
      </w:r>
      <w:r>
        <w:rPr>
          <w:rFonts w:ascii="Times New Roman"/>
          <w:color w:val="000000"/>
          <w:spacing w:val="398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0.24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%；</w:t>
      </w:r>
    </w:p>
    <w:p w14:paraId="15BCAF27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本年政府性基金预算收入</w:t>
      </w:r>
      <w:r>
        <w:rPr>
          <w:rFonts w:ascii="Times New Roman"/>
          <w:color w:val="000000"/>
          <w:spacing w:val="402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600"/>
          <w:sz w:val="32"/>
        </w:rPr>
        <w:t xml:space="preserve"> </w:t>
      </w:r>
      <w:r>
        <w:rPr>
          <w:rFonts w:ascii="仿宋" w:hAnsi="仿宋" w:cs="仿宋"/>
          <w:color w:val="000000"/>
          <w:spacing w:val="-2"/>
          <w:sz w:val="32"/>
        </w:rPr>
        <w:t>%；</w:t>
      </w:r>
    </w:p>
    <w:p w14:paraId="2D75C017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本年国有资本经营预算收入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398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402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-2"/>
          <w:sz w:val="32"/>
        </w:rPr>
        <w:t>%；</w:t>
      </w:r>
    </w:p>
    <w:p w14:paraId="2D8C509A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本年财政专户管理资金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40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401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%；</w:t>
      </w:r>
    </w:p>
    <w:p w14:paraId="7E053596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本年事业收入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168,000</w:t>
      </w:r>
      <w:r>
        <w:rPr>
          <w:rFonts w:ascii="Times New Roman"/>
          <w:color w:val="000000"/>
          <w:spacing w:val="398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LDJKVE+TimesNewRomanPSMT"/>
          <w:color w:val="000000"/>
          <w:spacing w:val="1"/>
          <w:sz w:val="32"/>
        </w:rPr>
        <w:t>99</w:t>
      </w:r>
      <w:r>
        <w:rPr>
          <w:rFonts w:ascii="Times New Roman"/>
          <w:color w:val="000000"/>
          <w:spacing w:val="398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%；</w:t>
      </w:r>
    </w:p>
    <w:p w14:paraId="19A15179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本年事业单位经营收入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40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401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%；</w:t>
      </w:r>
    </w:p>
    <w:p w14:paraId="54E5F9FA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本年上级补助收入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40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398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%；</w:t>
      </w:r>
    </w:p>
    <w:p w14:paraId="2C24F103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本年附属单位上缴收入</w:t>
      </w:r>
      <w:r>
        <w:rPr>
          <w:rFonts w:ascii="Times New Roman"/>
          <w:color w:val="000000"/>
          <w:spacing w:val="402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401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%；</w:t>
      </w:r>
    </w:p>
    <w:p w14:paraId="54743B63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本年其他收入</w:t>
      </w:r>
      <w:r>
        <w:rPr>
          <w:rFonts w:ascii="Times New Roman"/>
          <w:color w:val="000000"/>
          <w:spacing w:val="399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402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-2"/>
          <w:sz w:val="32"/>
        </w:rPr>
        <w:t>%；</w:t>
      </w:r>
    </w:p>
    <w:p w14:paraId="0C16A842">
      <w:pPr>
        <w:spacing w:before="237" w:after="0" w:line="363" w:lineRule="exact"/>
        <w:ind w:left="63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1"/>
          <w:sz w:val="32"/>
        </w:rPr>
        <w:t>上年结转结余的一般公共预算收入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  <w:u w:val="single"/>
        </w:rPr>
        <w:t>1,290.469063</w:t>
      </w:r>
      <w:r>
        <w:rPr>
          <w:rFonts w:ascii="Times New Roman"/>
          <w:color w:val="000000"/>
          <w:spacing w:val="19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21"/>
          <w:sz w:val="32"/>
        </w:rPr>
        <w:t>万元，占</w:t>
      </w:r>
    </w:p>
    <w:p w14:paraId="0044083F">
      <w:pPr>
        <w:spacing w:before="238" w:after="0" w:line="363" w:lineRule="exact"/>
        <w:ind w:left="95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0"/>
          <w:sz w:val="32"/>
          <w:u w:val="single"/>
        </w:rPr>
        <w:t>0.76</w:t>
      </w:r>
      <w:r>
        <w:rPr>
          <w:rFonts w:ascii="仿宋"/>
          <w:color w:val="000000"/>
          <w:spacing w:val="1"/>
          <w:sz w:val="32"/>
          <w:u w:val="single"/>
        </w:rPr>
        <w:t>%</w:t>
      </w:r>
      <w:r>
        <w:rPr>
          <w:rFonts w:ascii="仿宋" w:hAnsi="仿宋" w:cs="仿宋"/>
          <w:color w:val="000000"/>
          <w:spacing w:val="0"/>
          <w:sz w:val="32"/>
        </w:rPr>
        <w:t>；</w:t>
      </w:r>
    </w:p>
    <w:p w14:paraId="3DDA115D">
      <w:pPr>
        <w:spacing w:before="238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上年结转结余的政府性基金预算收入</w:t>
      </w:r>
      <w:r>
        <w:rPr>
          <w:rFonts w:ascii="Times New Roman"/>
          <w:color w:val="000000"/>
          <w:spacing w:val="560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仿宋" w:hAnsi="仿宋" w:cs="仿宋"/>
          <w:color w:val="000000"/>
          <w:spacing w:val="-20"/>
          <w:sz w:val="32"/>
        </w:rPr>
        <w:t>万元，占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401"/>
          <w:sz w:val="32"/>
        </w:rPr>
        <w:t xml:space="preserve"> </w:t>
      </w:r>
      <w:r>
        <w:rPr>
          <w:rFonts w:ascii="仿宋" w:hAnsi="仿宋" w:cs="仿宋"/>
          <w:color w:val="000000"/>
          <w:spacing w:val="-2"/>
          <w:sz w:val="32"/>
        </w:rPr>
        <w:t>%；</w:t>
      </w:r>
    </w:p>
    <w:p w14:paraId="4C4250D6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上年结转结余的国有资本经营预算收入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仿宋" w:hAnsi="仿宋" w:cs="仿宋"/>
          <w:color w:val="000000"/>
          <w:spacing w:val="-20"/>
          <w:sz w:val="32"/>
        </w:rPr>
        <w:t>万元，占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401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%；</w:t>
      </w:r>
    </w:p>
    <w:p w14:paraId="29AFB1B3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上年结转结余的财政专户管理资金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398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402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420"/>
          <w:sz w:val="32"/>
        </w:rPr>
        <w:t xml:space="preserve"> </w:t>
      </w:r>
      <w:r>
        <w:rPr>
          <w:rFonts w:ascii="仿宋" w:hAnsi="仿宋" w:cs="仿宋"/>
          <w:color w:val="000000"/>
          <w:spacing w:val="-2"/>
          <w:sz w:val="32"/>
        </w:rPr>
        <w:t>%；</w:t>
      </w:r>
    </w:p>
    <w:p w14:paraId="4BDE376D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上年结转结余的单位资金</w:t>
      </w:r>
      <w:r>
        <w:rPr>
          <w:rFonts w:ascii="Times New Roman"/>
          <w:color w:val="000000"/>
          <w:spacing w:val="402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600"/>
          <w:sz w:val="32"/>
        </w:rPr>
        <w:t xml:space="preserve"> </w:t>
      </w:r>
      <w:r>
        <w:rPr>
          <w:rFonts w:ascii="仿宋" w:hAnsi="仿宋" w:cs="仿宋"/>
          <w:color w:val="000000"/>
          <w:spacing w:val="-2"/>
          <w:sz w:val="32"/>
        </w:rPr>
        <w:t>%。</w:t>
      </w:r>
    </w:p>
    <w:p w14:paraId="715294BC">
      <w:pPr>
        <w:spacing w:before="3360" w:after="0" w:line="260" w:lineRule="exact"/>
        <w:ind w:left="40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等线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-</w:t>
      </w:r>
    </w:p>
    <w:p w14:paraId="23914657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74207A1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FD7D72A">
      <w:pPr>
        <w:pStyle w:val="4"/>
        <w:sectPr>
          <w:pgSz w:w="11900" w:h="16840"/>
          <w:pgMar w:top="1775" w:right="100" w:bottom="0" w:left="1241" w:header="720" w:footer="720" w:gutter="0"/>
          <w:pgNumType w:start="1"/>
          <w:cols w:space="720" w:num="1"/>
          <w:docGrid w:linePitch="1" w:charSpace="0"/>
        </w:sectPr>
      </w:pPr>
    </w:p>
    <w:p w14:paraId="1E63FB86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9D9C708">
      <w:pPr>
        <w:spacing w:before="0" w:after="0" w:line="329" w:lineRule="exact"/>
        <w:ind w:left="3360" w:right="0" w:firstLine="0"/>
        <w:jc w:val="left"/>
        <w:rPr>
          <w:rFonts w:ascii="Times New Roman"/>
          <w:color w:val="000000"/>
          <w:spacing w:val="0"/>
          <w:sz w:val="32"/>
        </w:rPr>
      </w:pPr>
      <w:bookmarkStart w:id="8" w:name="br9"/>
      <w:bookmarkEnd w:id="8"/>
      <w:r>
        <w:pict>
          <v:shape id="_x0000_s1086" o:spid="_x0000_s1086" o:spt="75" type="#_x0000_t75" style="position:absolute;left:0pt;margin-left:75.45pt;margin-top:76.45pt;height:274.55pt;width:424.3pt;mso-position-horizontal-relative:page;mso-position-vertical-relative:page;z-index:-251566080;mso-width-relative:page;mso-height-relative:page;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</v:shape>
        </w:pict>
      </w:r>
      <w:r>
        <w:pict>
          <v:shape id="_x0000_s1087" o:spid="_x0000_s1087" o:spt="75" type="#_x0000_t75" style="position:absolute;left:0pt;margin-left:-1pt;margin-top:-1pt;height:3pt;width:3pt;mso-position-horizontal-relative:page;mso-position-vertical-relative:page;z-index:-251567104;mso-width-relative:page;mso-height-relative:page;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</v:shape>
        </w:pict>
      </w:r>
      <w:r>
        <w:pict>
          <v:shape id="_x0000_s1088" o:spid="_x0000_s1088" o:spt="75" type="#_x0000_t75" style="position:absolute;left:0pt;margin-left:373pt;margin-top:461.35pt;height:3pt;width:126pt;mso-position-horizontal-relative:page;mso-position-vertical-relative:page;z-index:-251568128;mso-width-relative:page;mso-height-relative:page;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</v:shape>
        </w:pict>
      </w:r>
      <w:r>
        <w:pict>
          <v:shape id="_x0000_s1089" o:spid="_x0000_s1089" o:spt="75" type="#_x0000_t75" style="position:absolute;left:0pt;margin-left:157pt;margin-top:521.35pt;height:3pt;width:105.95pt;mso-position-horizontal-relative:page;mso-position-vertical-relative:page;z-index:-251569152;mso-width-relative:page;mso-height-relative:page;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</v:shape>
        </w:pict>
      </w:r>
      <w:r>
        <w:pict>
          <v:shape id="_x0000_s1090" o:spid="_x0000_s1090" o:spt="75" type="#_x0000_t75" style="position:absolute;left:0pt;margin-left:325pt;margin-top:521.35pt;height:3pt;width:57.95pt;mso-position-horizontal-relative:page;mso-position-vertical-relative:page;z-index:-251570176;mso-width-relative:page;mso-height-relative:page;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</v:shape>
        </w:pict>
      </w:r>
      <w:r>
        <w:pict>
          <v:shape id="_x0000_s1091" o:spid="_x0000_s1091" o:spt="75" type="#_x0000_t75" style="position:absolute;left:0pt;margin-left:337pt;margin-top:551.35pt;height:3pt;width:66pt;mso-position-horizontal-relative:page;mso-position-vertical-relative:page;z-index:-251571200;mso-width-relative:page;mso-height-relative:page;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</v:shape>
        </w:pict>
      </w:r>
      <w:r>
        <w:pict>
          <v:shape id="_x0000_s1092" o:spid="_x0000_s1092" o:spt="75" type="#_x0000_t75" style="position:absolute;left:0pt;margin-left:221pt;margin-top:581.35pt;height:3pt;width:50pt;mso-position-horizontal-relative:page;mso-position-vertical-relative:page;z-index:-251572224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</v:shape>
        </w:pict>
      </w:r>
      <w:r>
        <w:pict>
          <v:shape id="_x0000_s1093" o:spid="_x0000_s1093" o:spt="75" type="#_x0000_t75" style="position:absolute;left:0pt;margin-left:332.95pt;margin-top:581.35pt;height:3pt;width:50pt;mso-position-horizontal-relative:page;mso-position-vertical-relative:page;z-index:-251573248;mso-width-relative:page;mso-height-relative:page;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</v:shape>
        </w:pict>
      </w:r>
      <w:r>
        <w:pict>
          <v:shape id="_x0000_s1094" o:spid="_x0000_s1094" o:spt="75" type="#_x0000_t75" style="position:absolute;left:0pt;margin-left:194.6pt;margin-top:611.35pt;height:3pt;width:74pt;mso-position-horizontal-relative:page;mso-position-vertical-relative:page;z-index:-251574272;mso-width-relative:page;mso-height-relative:page;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</v:shape>
        </w:pict>
      </w:r>
      <w:r>
        <w:pict>
          <v:shape id="_x0000_s1095" o:spid="_x0000_s1095" o:spt="75" type="#_x0000_t75" style="position:absolute;left:0pt;margin-left:330.55pt;margin-top:611.35pt;height:3pt;width:50pt;mso-position-horizontal-relative:page;mso-position-vertical-relative:page;z-index:-251575296;mso-width-relative:page;mso-height-relative:page;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</v:shape>
        </w:pict>
      </w:r>
      <w:r>
        <w:pict>
          <v:shape id="_x0000_s1096" o:spid="_x0000_s1096" o:spt="75" type="#_x0000_t75" style="position:absolute;left:0pt;margin-left:236.95pt;margin-top:641.35pt;height:3pt;width:34.05pt;mso-position-horizontal-relative:page;mso-position-vertical-relative:page;z-index:-251576320;mso-width-relative:page;mso-height-relative:page;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</v:shape>
        </w:pict>
      </w:r>
      <w:r>
        <w:pict>
          <v:shape id="_x0000_s1097" o:spid="_x0000_s1097" o:spt="75" type="#_x0000_t75" style="position:absolute;left:0pt;margin-left:332.95pt;margin-top:641.35pt;height:3pt;width:50pt;mso-position-horizontal-relative:page;mso-position-vertical-relative:page;z-index:-251577344;mso-width-relative:page;mso-height-relative:page;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</v:shape>
        </w:pict>
      </w:r>
      <w:r>
        <w:rPr>
          <w:rFonts w:ascii="仿宋" w:hAnsi="仿宋" w:cs="仿宋"/>
          <w:color w:val="000000"/>
          <w:spacing w:val="0"/>
          <w:sz w:val="32"/>
        </w:rPr>
        <w:t>图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宋体"/>
          <w:color w:val="000000"/>
          <w:spacing w:val="1"/>
          <w:sz w:val="32"/>
        </w:rPr>
        <w:t>1.</w:t>
      </w:r>
      <w:r>
        <w:rPr>
          <w:rFonts w:ascii="仿宋" w:hAnsi="仿宋" w:cs="仿宋"/>
          <w:color w:val="000000"/>
          <w:spacing w:val="0"/>
          <w:sz w:val="32"/>
        </w:rPr>
        <w:t>收入预算图</w:t>
      </w:r>
    </w:p>
    <w:p w14:paraId="50FBB6BF">
      <w:pPr>
        <w:spacing w:before="852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三、支出预算情况说明</w:t>
      </w:r>
    </w:p>
    <w:p w14:paraId="70AA55EE">
      <w:pPr>
        <w:spacing w:before="261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  <w:u w:val="single"/>
        </w:rPr>
        <w:t>通辽市人民医院</w:t>
      </w:r>
      <w:r>
        <w:rPr>
          <w:rFonts w:ascii="Times New Roman"/>
          <w:color w:val="000000"/>
          <w:spacing w:val="1"/>
          <w:sz w:val="32"/>
          <w:u w:val="single"/>
        </w:rPr>
        <w:t xml:space="preserve"> </w:t>
      </w:r>
      <w:r>
        <w:rPr>
          <w:rFonts w:ascii="仿宋"/>
          <w:color w:val="000000"/>
          <w:spacing w:val="0"/>
          <w:sz w:val="32"/>
        </w:rPr>
        <w:t>2025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年度支出预算合计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169690.469063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</w:t>
      </w:r>
    </w:p>
    <w:p w14:paraId="3212B00F">
      <w:pPr>
        <w:spacing w:before="24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元，其中：</w:t>
      </w:r>
    </w:p>
    <w:p w14:paraId="2109321F">
      <w:pPr>
        <w:spacing w:before="261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基本支出</w:t>
      </w:r>
      <w:r>
        <w:rPr>
          <w:rFonts w:ascii="Times New Roman"/>
          <w:color w:val="000000"/>
          <w:spacing w:val="882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878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402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398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%；</w:t>
      </w:r>
    </w:p>
    <w:p w14:paraId="0736B88A">
      <w:pPr>
        <w:spacing w:before="236" w:after="0" w:line="364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项目支出</w:t>
      </w:r>
      <w:r>
        <w:rPr>
          <w:rFonts w:ascii="Times New Roman"/>
          <w:color w:val="000000"/>
          <w:spacing w:val="-79"/>
          <w:sz w:val="32"/>
        </w:rPr>
        <w:t xml:space="preserve"> 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  <w:u w:val="single"/>
        </w:rPr>
        <w:t>169690.469063</w:t>
      </w:r>
      <w:r>
        <w:rPr>
          <w:rFonts w:ascii="Times New Roman"/>
          <w:color w:val="000000"/>
          <w:spacing w:val="79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LDJKVE+TimesNewRomanPSMT"/>
          <w:color w:val="000000"/>
          <w:spacing w:val="1"/>
          <w:sz w:val="32"/>
        </w:rPr>
        <w:t>100</w:t>
      </w:r>
      <w:r>
        <w:rPr>
          <w:rFonts w:ascii="Times New Roman"/>
          <w:color w:val="000000"/>
          <w:spacing w:val="398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%；</w:t>
      </w:r>
    </w:p>
    <w:p w14:paraId="4454F198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事业单位经营支出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40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399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%；</w:t>
      </w:r>
    </w:p>
    <w:p w14:paraId="0959531C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上缴上级支出</w:t>
      </w:r>
      <w:r>
        <w:rPr>
          <w:rFonts w:ascii="Times New Roman"/>
          <w:color w:val="000000"/>
          <w:spacing w:val="83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40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401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%；</w:t>
      </w:r>
    </w:p>
    <w:p w14:paraId="7520B4EE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对附属单位补助支出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398"/>
          <w:sz w:val="32"/>
        </w:rPr>
        <w:t xml:space="preserve"> </w:t>
      </w:r>
      <w:r>
        <w:rPr>
          <w:rFonts w:ascii="仿宋" w:hAnsi="仿宋" w:cs="仿宋"/>
          <w:color w:val="000000"/>
          <w:spacing w:val="1"/>
          <w:sz w:val="32"/>
        </w:rPr>
        <w:t>%。</w:t>
      </w:r>
    </w:p>
    <w:p w14:paraId="5D7DCCD1">
      <w:pPr>
        <w:spacing w:before="2818" w:after="0" w:line="260" w:lineRule="exact"/>
        <w:ind w:left="40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等线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-</w:t>
      </w:r>
    </w:p>
    <w:p w14:paraId="6C4C168D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A785673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E5DB9A3">
      <w:pPr>
        <w:spacing w:before="0" w:after="0" w:line="329" w:lineRule="exact"/>
        <w:ind w:left="3468" w:right="0" w:firstLine="0"/>
        <w:jc w:val="left"/>
        <w:rPr>
          <w:rFonts w:ascii="Times New Roman"/>
          <w:color w:val="000000"/>
          <w:spacing w:val="0"/>
          <w:sz w:val="32"/>
        </w:rPr>
      </w:pPr>
      <w:bookmarkStart w:id="9" w:name="br10"/>
      <w:bookmarkEnd w:id="9"/>
      <w:r>
        <w:pict>
          <v:shape id="_x0000_s1098" o:spid="_x0000_s1098" o:spt="75" type="#_x0000_t75" style="position:absolute;left:0pt;margin-left:80.95pt;margin-top:76.45pt;height:274.55pt;width:424.3pt;mso-position-horizontal-relative:page;mso-position-vertical-relative:page;z-index:-251578368;mso-width-relative:page;mso-height-relative:page;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</v:shape>
        </w:pict>
      </w:r>
      <w:r>
        <w:pict>
          <v:shape id="_x0000_s1099" o:spid="_x0000_s1099" o:spt="75" type="#_x0000_t75" style="position:absolute;left:0pt;margin-left:-1pt;margin-top:-1pt;height:3pt;width:3pt;mso-position-horizontal-relative:page;mso-position-vertical-relative:page;z-index:-251579392;mso-width-relative:page;mso-height-relative:page;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</v:shape>
        </w:pict>
      </w:r>
      <w:r>
        <w:pict>
          <v:shape id="_x0000_s1100" o:spid="_x0000_s1100" o:spt="75" type="#_x0000_t75" style="position:absolute;left:0pt;margin-left:215pt;margin-top:526.85pt;height:3pt;width:70pt;mso-position-horizontal-relative:page;mso-position-vertical-relative:page;z-index:-251580416;mso-width-relative:page;mso-height-relative:page;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</v:shape>
        </w:pict>
      </w:r>
      <w:r>
        <w:pict>
          <v:shape id="_x0000_s1101" o:spid="_x0000_s1101" o:spt="75" type="#_x0000_t75" style="position:absolute;left:0pt;margin-left:61pt;margin-top:706.85pt;height:3pt;width:108.2pt;mso-position-horizontal-relative:page;mso-position-vertical-relative:page;z-index:-251581440;mso-width-relative:page;mso-height-relative:page;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</v:shape>
        </w:pict>
      </w:r>
      <w:r>
        <w:pict>
          <v:shape id="_x0000_s1102" o:spid="_x0000_s1102" o:spt="75" type="#_x0000_t75" style="position:absolute;left:0pt;margin-left:342.3pt;margin-top:706.85pt;height:3pt;width:88.3pt;mso-position-horizontal-relative:page;mso-position-vertical-relative:page;z-index:-251582464;mso-width-relative:page;mso-height-relative:page;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</v:shape>
        </w:pict>
      </w:r>
      <w:r>
        <w:pict>
          <v:shape id="_x0000_s1103" o:spid="_x0000_s1103" o:spt="75" type="#_x0000_t75" style="position:absolute;left:0pt;margin-left:61pt;margin-top:736.85pt;height:3pt;width:54pt;mso-position-horizontal-relative:page;mso-position-vertical-relative:page;z-index:-251583488;mso-width-relative:page;mso-height-relative:page;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</v:shape>
        </w:pict>
      </w:r>
      <w:r>
        <w:rPr>
          <w:rFonts w:ascii="仿宋" w:hAnsi="仿宋" w:cs="仿宋"/>
          <w:color w:val="000000"/>
          <w:spacing w:val="0"/>
          <w:sz w:val="32"/>
        </w:rPr>
        <w:t>图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宋体"/>
          <w:color w:val="000000"/>
          <w:spacing w:val="0"/>
          <w:sz w:val="32"/>
        </w:rPr>
        <w:t>2.</w:t>
      </w:r>
      <w:r>
        <w:rPr>
          <w:rFonts w:ascii="仿宋" w:hAnsi="仿宋" w:cs="仿宋"/>
          <w:color w:val="000000"/>
          <w:spacing w:val="0"/>
          <w:sz w:val="32"/>
        </w:rPr>
        <w:t>支出预算图</w:t>
      </w:r>
    </w:p>
    <w:p w14:paraId="75E6172C">
      <w:pPr>
        <w:spacing w:before="965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四、财政拨款收支预算总体情况说明</w:t>
      </w:r>
    </w:p>
    <w:p w14:paraId="2A88FD9B">
      <w:pPr>
        <w:spacing w:before="270" w:after="0" w:line="330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  <w:u w:val="single"/>
        </w:rPr>
        <w:t>通</w:t>
      </w:r>
      <w:r>
        <w:rPr>
          <w:rFonts w:ascii="Times New Roman"/>
          <w:color w:val="000000"/>
          <w:spacing w:val="1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  <w:u w:val="single"/>
        </w:rPr>
        <w:t>辽</w:t>
      </w:r>
      <w:r>
        <w:rPr>
          <w:rFonts w:ascii="Times New Roman"/>
          <w:color w:val="000000"/>
          <w:spacing w:val="-2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  <w:u w:val="single"/>
        </w:rPr>
        <w:t>市</w:t>
      </w:r>
      <w:r>
        <w:rPr>
          <w:rFonts w:ascii="Times New Roman"/>
          <w:color w:val="000000"/>
          <w:spacing w:val="1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  <w:u w:val="single"/>
        </w:rPr>
        <w:t>人</w:t>
      </w:r>
      <w:r>
        <w:rPr>
          <w:rFonts w:ascii="Times New Roman"/>
          <w:color w:val="000000"/>
          <w:spacing w:val="1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  <w:u w:val="single"/>
        </w:rPr>
        <w:t>民</w:t>
      </w:r>
      <w:r>
        <w:rPr>
          <w:rFonts w:ascii="Times New Roman"/>
          <w:color w:val="000000"/>
          <w:spacing w:val="-2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  <w:u w:val="single"/>
        </w:rPr>
        <w:t>医</w:t>
      </w:r>
      <w:r>
        <w:rPr>
          <w:rFonts w:ascii="Times New Roman"/>
          <w:color w:val="000000"/>
          <w:spacing w:val="1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  <w:u w:val="single"/>
        </w:rPr>
        <w:t>院</w:t>
      </w:r>
      <w:r>
        <w:rPr>
          <w:rFonts w:ascii="Times New Roman"/>
          <w:color w:val="000000"/>
          <w:spacing w:val="80"/>
          <w:sz w:val="32"/>
          <w:u w:val="single"/>
        </w:rPr>
        <w:t xml:space="preserve"> </w:t>
      </w:r>
      <w:r>
        <w:rPr>
          <w:rFonts w:ascii="仿宋"/>
          <w:color w:val="000000"/>
          <w:spacing w:val="0"/>
          <w:sz w:val="32"/>
        </w:rPr>
        <w:t>2025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度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财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政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拨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款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收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、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支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总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预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算</w:t>
      </w:r>
    </w:p>
    <w:p w14:paraId="1A487367">
      <w:pPr>
        <w:spacing w:before="261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0"/>
          <w:sz w:val="32"/>
          <w:u w:val="single"/>
        </w:rPr>
        <w:t>1,690.469063</w:t>
      </w:r>
      <w:r>
        <w:rPr>
          <w:rFonts w:ascii="Times New Roman"/>
          <w:color w:val="000000"/>
          <w:spacing w:val="259"/>
          <w:sz w:val="32"/>
          <w:u w:val="single"/>
        </w:rPr>
        <w:t xml:space="preserve"> </w:t>
      </w:r>
      <w:r>
        <w:rPr>
          <w:rFonts w:ascii="Times New Roman"/>
          <w:color w:val="000000"/>
          <w:spacing w:val="-80"/>
          <w:sz w:val="32"/>
        </w:rPr>
        <w:t xml:space="preserve"> </w:t>
      </w:r>
      <w:r>
        <w:rPr>
          <w:rFonts w:ascii="仿宋" w:hAnsi="仿宋" w:cs="仿宋"/>
          <w:color w:val="000000"/>
          <w:spacing w:val="11"/>
          <w:sz w:val="32"/>
        </w:rPr>
        <w:t>万元。与上年相比，财政拨款收、支总计各减少</w:t>
      </w:r>
    </w:p>
    <w:p w14:paraId="28DBB94D">
      <w:pPr>
        <w:spacing w:before="237" w:after="0" w:line="36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0"/>
          <w:sz w:val="32"/>
          <w:u w:val="single"/>
        </w:rPr>
        <w:t>48.830937</w:t>
      </w:r>
      <w:r>
        <w:rPr>
          <w:rFonts w:ascii="Times New Roman"/>
          <w:color w:val="000000"/>
          <w:spacing w:val="79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-8"/>
          <w:sz w:val="32"/>
        </w:rPr>
        <w:t>万元，减少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2.81</w:t>
      </w:r>
      <w:r>
        <w:rPr>
          <w:rFonts w:ascii="Times New Roman"/>
          <w:color w:val="000000"/>
          <w:spacing w:val="401"/>
          <w:sz w:val="32"/>
        </w:rPr>
        <w:t xml:space="preserve"> </w:t>
      </w:r>
      <w:r>
        <w:rPr>
          <w:rFonts w:ascii="仿宋" w:hAnsi="仿宋" w:cs="仿宋"/>
          <w:color w:val="000000"/>
          <w:spacing w:val="-3"/>
          <w:sz w:val="32"/>
        </w:rPr>
        <w:t>%。主要原因是离休干部人数减少</w:t>
      </w:r>
    </w:p>
    <w:p w14:paraId="1494149E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导致离休老干部医药费项目金额减少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LDJKVE+TimesNewRomanPSMT"/>
          <w:color w:val="000000"/>
          <w:spacing w:val="1"/>
          <w:sz w:val="32"/>
        </w:rPr>
        <w:t>200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3"/>
          <w:sz w:val="32"/>
        </w:rPr>
        <w:t>万元；年初无提前下达</w:t>
      </w:r>
    </w:p>
    <w:p w14:paraId="6157E722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项目减少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621.3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 w:hAnsi="仿宋" w:cs="仿宋"/>
          <w:color w:val="000000"/>
          <w:spacing w:val="-5"/>
          <w:sz w:val="32"/>
        </w:rPr>
        <w:t>万元；人员定向补助项目取消减少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518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16"/>
          <w:sz w:val="32"/>
        </w:rPr>
        <w:t>万元；年初</w:t>
      </w:r>
    </w:p>
    <w:p w14:paraId="2113E40C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核算口径有所区别，本年预算含上年结转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1290.469063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万元。</w:t>
      </w:r>
    </w:p>
    <w:p w14:paraId="3911E7CC">
      <w:pPr>
        <w:spacing w:before="247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五、一般公共预算支出预算情况说明</w:t>
      </w:r>
    </w:p>
    <w:p w14:paraId="1A57C45F">
      <w:pPr>
        <w:spacing w:before="270" w:after="0" w:line="330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0"/>
          <w:sz w:val="32"/>
          <w:u w:val="single"/>
        </w:rPr>
        <w:t>通辽市人民医院</w:t>
      </w:r>
      <w:r>
        <w:rPr>
          <w:rFonts w:ascii="Times New Roman"/>
          <w:color w:val="000000"/>
          <w:spacing w:val="0"/>
          <w:sz w:val="32"/>
          <w:u w:val="single"/>
        </w:rPr>
        <w:t xml:space="preserve"> </w:t>
      </w:r>
      <w:r>
        <w:rPr>
          <w:rFonts w:ascii="仿宋"/>
          <w:color w:val="000000"/>
          <w:spacing w:val="0"/>
          <w:sz w:val="32"/>
        </w:rPr>
        <w:t>2025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仿宋" w:hAnsi="仿宋" w:cs="仿宋"/>
          <w:color w:val="000000"/>
          <w:spacing w:val="10"/>
          <w:sz w:val="32"/>
        </w:rPr>
        <w:t>年度一般公共预算财政拨款支出预算</w:t>
      </w:r>
    </w:p>
    <w:p w14:paraId="5359C2FE">
      <w:pPr>
        <w:spacing w:before="261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0"/>
          <w:sz w:val="32"/>
        </w:rPr>
        <w:t>1,690.469063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仿宋" w:hAnsi="仿宋" w:cs="仿宋"/>
          <w:color w:val="000000"/>
          <w:spacing w:val="22"/>
          <w:sz w:val="32"/>
        </w:rPr>
        <w:t>万元，与上年相比减少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48.830937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仿宋" w:hAnsi="仿宋" w:cs="仿宋"/>
          <w:color w:val="000000"/>
          <w:spacing w:val="22"/>
          <w:sz w:val="32"/>
        </w:rPr>
        <w:t>万元，减少</w:t>
      </w:r>
    </w:p>
    <w:p w14:paraId="3964D447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0"/>
          <w:sz w:val="32"/>
        </w:rPr>
        <w:t>2.81</w:t>
      </w:r>
      <w:r>
        <w:rPr>
          <w:rFonts w:ascii="Times New Roman"/>
          <w:color w:val="000000"/>
          <w:spacing w:val="398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%。具体情况如下：</w:t>
      </w:r>
    </w:p>
    <w:p w14:paraId="455897E6">
      <w:pPr>
        <w:spacing w:before="247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1"/>
          <w:sz w:val="32"/>
        </w:rPr>
        <w:t>（一）科学技术支出（类）</w:t>
      </w:r>
    </w:p>
    <w:p w14:paraId="776EC623">
      <w:pPr>
        <w:spacing w:before="329" w:after="0" w:line="260" w:lineRule="exact"/>
        <w:ind w:left="40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等线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1"/>
          <w:sz w:val="24"/>
        </w:rPr>
        <w:t>10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-</w:t>
      </w:r>
    </w:p>
    <w:p w14:paraId="34601133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57B53BC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1815A93">
      <w:pPr>
        <w:pStyle w:val="4"/>
        <w:sectPr>
          <w:pgSz w:w="11900" w:h="16840"/>
          <w:pgMar w:top="7148" w:right="100" w:bottom="0" w:left="1241" w:header="720" w:footer="720" w:gutter="0"/>
          <w:pgNumType w:start="1"/>
          <w:cols w:space="720" w:num="1"/>
          <w:docGrid w:linePitch="1" w:charSpace="0"/>
        </w:sectPr>
      </w:pPr>
    </w:p>
    <w:p w14:paraId="3A213687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2E45DEC">
      <w:pPr>
        <w:spacing w:before="0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bookmarkStart w:id="10" w:name="br11"/>
      <w:bookmarkEnd w:id="10"/>
      <w:r>
        <w:pict>
          <v:shape id="_x0000_s1104" o:spid="_x0000_s1104" o:spt="75" type="#_x0000_t75" style="position:absolute;left:0pt;margin-left:302.95pt;margin-top:104.1pt;height:3pt;width:50.6pt;mso-position-horizontal-relative:page;mso-position-vertical-relative:page;z-index:-251584512;mso-width-relative:page;mso-height-relative:page;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</v:shape>
        </w:pict>
      </w:r>
      <w:r>
        <w:pict>
          <v:shape id="_x0000_s1105" o:spid="_x0000_s1105" o:spt="75" type="#_x0000_t75" style="position:absolute;left:0pt;margin-left:61pt;margin-top:134.1pt;height:3pt;width:21.95pt;mso-position-horizontal-relative:page;mso-position-vertical-relative:page;z-index:-251585536;mso-width-relative:page;mso-height-relative:page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</v:shape>
        </w:pict>
      </w:r>
      <w:r>
        <w:pict>
          <v:shape id="_x0000_s1106" o:spid="_x0000_s1106" o:spt="75" type="#_x0000_t75" style="position:absolute;left:0pt;margin-left:425pt;margin-top:164.1pt;height:3pt;width:50pt;mso-position-horizontal-relative:page;mso-position-vertical-relative:page;z-index:-251586560;mso-width-relative:page;mso-height-relative:page;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</v:shape>
        </w:pict>
      </w:r>
      <w:r>
        <w:pict>
          <v:shape id="_x0000_s1107" o:spid="_x0000_s1107" o:spt="75" type="#_x0000_t75" style="position:absolute;left:0pt;margin-left:173.95pt;margin-top:194.1pt;height:3pt;width:50.45pt;mso-position-horizontal-relative:page;mso-position-vertical-relative:page;z-index:-251587584;mso-width-relative:page;mso-height-relative:page;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</v:shape>
        </w:pict>
      </w:r>
      <w:r>
        <w:pict>
          <v:shape id="_x0000_s1108" o:spid="_x0000_s1108" o:spt="75" type="#_x0000_t75" style="position:absolute;left:0pt;margin-left:303.2pt;margin-top:194.1pt;height:3pt;width:58.5pt;mso-position-horizontal-relative:page;mso-position-vertical-relative:page;z-index:-251588608;mso-width-relative:page;mso-height-relative:page;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</v:shape>
        </w:pict>
      </w:r>
      <w:r>
        <w:pict>
          <v:shape id="_x0000_s1109" o:spid="_x0000_s1109" o:spt="75" type="#_x0000_t75" style="position:absolute;left:0pt;margin-left:301pt;margin-top:284.1pt;height:3pt;width:138pt;mso-position-horizontal-relative:page;mso-position-vertical-relative:page;z-index:-251589632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pict>
          <v:shape id="_x0000_s1110" o:spid="_x0000_s1110" o:spt="75" type="#_x0000_t75" style="position:absolute;left:0pt;margin-left:140.95pt;margin-top:314.1pt;height:3pt;width:102.05pt;mso-position-horizontal-relative:page;mso-position-vertical-relative:page;z-index:-251590656;mso-width-relative:page;mso-height-relative:page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</v:shape>
        </w:pict>
      </w:r>
      <w:r>
        <w:pict>
          <v:shape id="_x0000_s1111" o:spid="_x0000_s1111" o:spt="75" type="#_x0000_t75" style="position:absolute;left:0pt;margin-left:416.95pt;margin-top:344.1pt;height:3pt;width:58.05pt;mso-position-horizontal-relative:page;mso-position-vertical-relative:page;z-index:-251591680;mso-width-relative:page;mso-height-relative:page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</v:shape>
        </w:pict>
      </w:r>
      <w:r>
        <w:pict>
          <v:shape id="_x0000_s1112" o:spid="_x0000_s1112" o:spt="75" type="#_x0000_t75" style="position:absolute;left:0pt;margin-left:173pt;margin-top:374.1pt;height:3pt;width:58pt;mso-position-horizontal-relative:page;mso-position-vertical-relative:page;z-index:-251592704;mso-width-relative:page;mso-height-relative:page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</v:shape>
        </w:pict>
      </w:r>
      <w:r>
        <w:pict>
          <v:shape id="_x0000_s1113" o:spid="_x0000_s1113" o:spt="75" type="#_x0000_t75" style="position:absolute;left:0pt;margin-left:306.3pt;margin-top:374.1pt;height:3pt;width:62pt;mso-position-horizontal-relative:page;mso-position-vertical-relative:page;z-index:-251593728;mso-width-relative:page;mso-height-relative:page;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</v:shape>
        </w:pict>
      </w:r>
      <w:r>
        <w:pict>
          <v:shape id="_x0000_s1114" o:spid="_x0000_s1114" o:spt="75" type="#_x0000_t75" style="position:absolute;left:0pt;margin-left:-1pt;margin-top:-1pt;height:3pt;width:3pt;mso-position-horizontal-relative:page;mso-position-vertical-relative:page;z-index:-251594752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pict>
          <v:shape id="_x0000_s1115" o:spid="_x0000_s1115" o:spt="75" type="#_x0000_t75" style="position:absolute;left:0pt;margin-left:325pt;margin-top:494.1pt;height:3pt;width:110pt;mso-position-horizontal-relative:page;mso-position-vertical-relative:page;z-index:-251595776;mso-width-relative:page;mso-height-relative:page;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</v:shape>
        </w:pict>
      </w:r>
      <w:r>
        <w:pict>
          <v:shape id="_x0000_s1116" o:spid="_x0000_s1116" o:spt="75" type="#_x0000_t75" style="position:absolute;left:0pt;margin-left:61pt;margin-top:524.1pt;height:3pt;width:62pt;mso-position-horizontal-relative:page;mso-position-vertical-relative:page;z-index:-251596800;mso-width-relative:page;mso-height-relative:page;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</v:shape>
        </w:pict>
      </w:r>
      <w:r>
        <w:pict>
          <v:shape id="_x0000_s1117" o:spid="_x0000_s1117" o:spt="75" type="#_x0000_t75" style="position:absolute;left:0pt;margin-left:469pt;margin-top:584.1pt;height:3pt;width:45.95pt;mso-position-horizontal-relative:page;mso-position-vertical-relative:page;z-index:-251597824;mso-width-relative:page;mso-height-relative:page;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</v:shape>
        </w:pict>
      </w:r>
      <w:r>
        <w:pict>
          <v:shape id="_x0000_s1118" o:spid="_x0000_s1118" o:spt="75" type="#_x0000_t75" style="position:absolute;left:0pt;margin-left:221pt;margin-top:614.1pt;height:3pt;width:46pt;mso-position-horizontal-relative:page;mso-position-vertical-relative:page;z-index:-251598848;mso-width-relative:page;mso-height-relative:page;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</v:shape>
        </w:pict>
      </w:r>
      <w:r>
        <w:pict>
          <v:shape id="_x0000_s1119" o:spid="_x0000_s1119" o:spt="75" type="#_x0000_t75" style="position:absolute;left:0pt;margin-left:344.95pt;margin-top:614.1pt;height:3pt;width:50pt;mso-position-horizontal-relative:page;mso-position-vertical-relative:page;z-index:-251599872;mso-width-relative:page;mso-height-relative:page;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</v:shape>
        </w:pict>
      </w:r>
      <w:r>
        <w:pict>
          <v:shape id="_x0000_s1120" o:spid="_x0000_s1120" o:spt="75" type="#_x0000_t75" style="position:absolute;left:0pt;margin-left:476.95pt;margin-top:674.1pt;height:3pt;width:38pt;mso-position-horizontal-relative:page;mso-position-vertical-relative:page;z-index:-251600896;mso-width-relative:page;mso-height-relative:page;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</v:shape>
        </w:pict>
      </w:r>
      <w:r>
        <w:pict>
          <v:shape id="_x0000_s1121" o:spid="_x0000_s1121" o:spt="75" type="#_x0000_t75" style="position:absolute;left:0pt;margin-left:222.4pt;margin-top:704.1pt;height:3pt;width:38.4pt;mso-position-horizontal-relative:page;mso-position-vertical-relative:page;z-index:-251601920;mso-width-relative:page;mso-height-relative:page;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</v:shape>
        </w:pict>
      </w:r>
      <w:r>
        <w:pict>
          <v:shape id="_x0000_s1122" o:spid="_x0000_s1122" o:spt="75" type="#_x0000_t75" style="position:absolute;left:0pt;margin-left:339.4pt;margin-top:704.1pt;height:3pt;width:38.4pt;mso-position-horizontal-relative:page;mso-position-vertical-relative:page;z-index:-251602944;mso-width-relative:page;mso-height-relative:page;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</v:shape>
        </w:pict>
      </w:r>
      <w:r>
        <w:rPr>
          <w:rFonts w:ascii="仿宋" w:hAnsi="仿宋" w:cs="仿宋"/>
          <w:color w:val="000000"/>
          <w:spacing w:val="3"/>
          <w:sz w:val="32"/>
        </w:rPr>
        <w:t>科学技术支出类年初预算数为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LDJKVE+TimesNewRomanPSMT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仿宋" w:hAnsi="仿宋" w:cs="仿宋"/>
          <w:color w:val="000000"/>
          <w:spacing w:val="3"/>
          <w:sz w:val="32"/>
        </w:rPr>
        <w:t>万元，与上年相比增加</w:t>
      </w:r>
    </w:p>
    <w:p w14:paraId="0AD26310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万元。其中：</w:t>
      </w:r>
    </w:p>
    <w:p w14:paraId="73702359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基础研究（款）自然科学基金（项）。年初预算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LDJKVE+TimesNewRomanPSMT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</w:t>
      </w:r>
    </w:p>
    <w:p w14:paraId="2236AB6A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与上年相比增加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LDJKVE+TimesNewRomanPSMT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仿宋" w:hAnsi="仿宋" w:cs="仿宋"/>
          <w:color w:val="000000"/>
          <w:spacing w:val="3"/>
          <w:sz w:val="32"/>
        </w:rPr>
        <w:t>万元，增长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LDJKVE+TimesNewRomanPSMT"/>
          <w:color w:val="000000"/>
          <w:spacing w:val="1"/>
          <w:sz w:val="32"/>
        </w:rPr>
        <w:t>100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仿宋" w:hAnsi="仿宋" w:cs="仿宋"/>
          <w:color w:val="000000"/>
          <w:spacing w:val="3"/>
          <w:sz w:val="32"/>
        </w:rPr>
        <w:t>%。变动原因：年初核</w:t>
      </w:r>
    </w:p>
    <w:p w14:paraId="1E884623">
      <w:pPr>
        <w:spacing w:before="24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算口径有所区别。</w:t>
      </w:r>
    </w:p>
    <w:p w14:paraId="2B01A498">
      <w:pPr>
        <w:spacing w:before="271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1"/>
          <w:sz w:val="32"/>
        </w:rPr>
        <w:t>（二）卫生健康支出（类）</w:t>
      </w:r>
    </w:p>
    <w:p w14:paraId="7216A6FC">
      <w:pPr>
        <w:spacing w:before="261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卫生健康支出类年初预算数为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1,680.469063</w:t>
      </w:r>
      <w:r>
        <w:rPr>
          <w:rFonts w:ascii="Times New Roman"/>
          <w:color w:val="000000"/>
          <w:spacing w:val="559"/>
          <w:sz w:val="32"/>
        </w:rPr>
        <w:t xml:space="preserve"> </w:t>
      </w:r>
      <w:r>
        <w:rPr>
          <w:rFonts w:ascii="仿宋" w:hAnsi="仿宋" w:cs="仿宋"/>
          <w:color w:val="000000"/>
          <w:spacing w:val="-16"/>
          <w:sz w:val="32"/>
        </w:rPr>
        <w:t>万元，与上</w:t>
      </w:r>
    </w:p>
    <w:p w14:paraId="06A148DB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年相比减少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58.830937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万元。其中：</w:t>
      </w:r>
    </w:p>
    <w:p w14:paraId="6E3C3C5E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1"/>
          <w:sz w:val="32"/>
        </w:rPr>
        <w:t>1</w:t>
      </w:r>
      <w:r>
        <w:rPr>
          <w:rFonts w:ascii="仿宋" w:hAnsi="仿宋" w:cs="仿宋"/>
          <w:color w:val="000000"/>
          <w:spacing w:val="-4"/>
          <w:sz w:val="32"/>
        </w:rPr>
        <w:t>．公立医院（款）综合医院（项）。年初预算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400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</w:t>
      </w:r>
    </w:p>
    <w:p w14:paraId="7A4E9435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与上年相比减少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LDJKVE+TimesNewRomanPSMT"/>
          <w:color w:val="000000"/>
          <w:spacing w:val="1"/>
          <w:sz w:val="32"/>
        </w:rPr>
        <w:t>718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仿宋" w:hAnsi="仿宋" w:cs="仿宋"/>
          <w:color w:val="000000"/>
          <w:spacing w:val="-11"/>
          <w:sz w:val="32"/>
        </w:rPr>
        <w:t>万元，减少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64.22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-11"/>
          <w:sz w:val="32"/>
        </w:rPr>
        <w:t>%。变动原因：离休干</w:t>
      </w:r>
    </w:p>
    <w:p w14:paraId="5EDD3684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部人数减少导致离休老干部医药费项目金额减少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  <w:u w:val="single"/>
        </w:rPr>
        <w:t>200</w:t>
      </w:r>
      <w:r>
        <w:rPr>
          <w:rFonts w:ascii="Times New Roman"/>
          <w:color w:val="000000"/>
          <w:spacing w:val="3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3"/>
          <w:sz w:val="32"/>
        </w:rPr>
        <w:t>万元；人员</w:t>
      </w:r>
    </w:p>
    <w:p w14:paraId="29043871">
      <w:pPr>
        <w:spacing w:before="238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定向补助项目取消减少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LDJKVE+TimesNewRomanPSMT"/>
          <w:color w:val="000000"/>
          <w:spacing w:val="1"/>
          <w:sz w:val="32"/>
          <w:u w:val="single"/>
        </w:rPr>
        <w:t>518</w:t>
      </w:r>
      <w:r>
        <w:rPr>
          <w:rFonts w:ascii="Times New Roman"/>
          <w:color w:val="000000"/>
          <w:spacing w:val="-1"/>
          <w:sz w:val="32"/>
          <w:u w:val="single"/>
        </w:rPr>
        <w:t xml:space="preserve"> </w:t>
      </w:r>
      <w:r>
        <w:rPr>
          <w:rFonts w:ascii="Times New Roman"/>
          <w:color w:val="000000"/>
          <w:spacing w:val="-80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万元。</w:t>
      </w:r>
    </w:p>
    <w:p w14:paraId="20F0D57F">
      <w:pPr>
        <w:spacing w:before="238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25"/>
          <w:sz w:val="32"/>
        </w:rPr>
        <w:t>2</w:t>
      </w:r>
      <w:r>
        <w:rPr>
          <w:rFonts w:ascii="仿宋" w:hAnsi="仿宋" w:cs="仿宋"/>
          <w:color w:val="000000"/>
          <w:spacing w:val="23"/>
          <w:sz w:val="32"/>
        </w:rPr>
        <w:t>．公立医院（款）其他公立医院支出（项）。年初预算</w:t>
      </w:r>
    </w:p>
    <w:p w14:paraId="0F49DA40">
      <w:pPr>
        <w:spacing w:before="236" w:after="0" w:line="36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0"/>
          <w:sz w:val="32"/>
          <w:u w:val="single"/>
        </w:rPr>
        <w:t>1,255.269063</w:t>
      </w:r>
      <w:r>
        <w:rPr>
          <w:rFonts w:ascii="Times New Roman"/>
          <w:color w:val="000000"/>
          <w:spacing w:val="238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万元，与上年相比增加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641.269063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万元，增加</w:t>
      </w:r>
    </w:p>
    <w:p w14:paraId="289C90CE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0"/>
          <w:sz w:val="32"/>
        </w:rPr>
        <w:t>104.44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%。变动原因：年初核算口径有所区别，上年年初预算未</w:t>
      </w:r>
    </w:p>
    <w:p w14:paraId="2F176662">
      <w:pPr>
        <w:spacing w:before="24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含上年结转。</w:t>
      </w:r>
    </w:p>
    <w:p w14:paraId="5A37E97F">
      <w:pPr>
        <w:spacing w:before="261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1"/>
          <w:sz w:val="32"/>
        </w:rPr>
        <w:t>3</w:t>
      </w:r>
      <w:r>
        <w:rPr>
          <w:rFonts w:ascii="仿宋" w:hAnsi="仿宋" w:cs="仿宋"/>
          <w:color w:val="000000"/>
          <w:spacing w:val="-13"/>
          <w:sz w:val="32"/>
        </w:rPr>
        <w:t>．公共卫生（款）重大公共卫生服务（项）。年初预算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20.9</w:t>
      </w:r>
    </w:p>
    <w:p w14:paraId="36136567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万元，与上年相比增加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LDJKVE+TimesNewRomanPSMT"/>
          <w:color w:val="000000"/>
          <w:spacing w:val="-1"/>
          <w:sz w:val="32"/>
        </w:rPr>
        <w:t>13.6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万元，增加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186.3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%。变动原因：年</w:t>
      </w:r>
    </w:p>
    <w:p w14:paraId="39063054">
      <w:pPr>
        <w:spacing w:before="24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初核算口径有所区别，上年年初预算未含上年结转。</w:t>
      </w:r>
    </w:p>
    <w:p w14:paraId="301D4EE2">
      <w:pPr>
        <w:spacing w:before="261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1"/>
          <w:sz w:val="32"/>
        </w:rPr>
        <w:t>4</w:t>
      </w:r>
      <w:r>
        <w:rPr>
          <w:rFonts w:ascii="仿宋" w:hAnsi="仿宋" w:cs="仿宋"/>
          <w:color w:val="000000"/>
          <w:spacing w:val="-7"/>
          <w:sz w:val="32"/>
        </w:rPr>
        <w:t>．公共卫生（款）其他公共卫生支出（项）。年初预算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4.3</w:t>
      </w:r>
    </w:p>
    <w:p w14:paraId="6E0CB0E9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万元，与上年相比增加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4.3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仿宋" w:hAnsi="仿宋" w:cs="仿宋"/>
          <w:color w:val="000000"/>
          <w:spacing w:val="3"/>
          <w:sz w:val="32"/>
        </w:rPr>
        <w:t>万元，增加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LDJKVE+TimesNewRomanPSMT"/>
          <w:color w:val="000000"/>
          <w:spacing w:val="1"/>
          <w:sz w:val="32"/>
        </w:rPr>
        <w:t>100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3"/>
          <w:sz w:val="32"/>
        </w:rPr>
        <w:t>%。变动原因：年初</w:t>
      </w:r>
    </w:p>
    <w:p w14:paraId="07F0F079">
      <w:pPr>
        <w:spacing w:before="24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核算口径有所区别，上年年初预算未含上年结转。</w:t>
      </w:r>
    </w:p>
    <w:p w14:paraId="1DA4EA6D">
      <w:pPr>
        <w:spacing w:before="984" w:after="0" w:line="260" w:lineRule="exact"/>
        <w:ind w:left="40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等线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1"/>
          <w:sz w:val="24"/>
        </w:rPr>
        <w:t>11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-</w:t>
      </w:r>
    </w:p>
    <w:p w14:paraId="6422C411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AAF94C8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4951E2A">
      <w:pPr>
        <w:pStyle w:val="4"/>
        <w:sectPr>
          <w:pgSz w:w="11900" w:h="16840"/>
          <w:pgMar w:top="1776" w:right="100" w:bottom="0" w:left="1241" w:header="720" w:footer="720" w:gutter="0"/>
          <w:pgNumType w:start="1"/>
          <w:cols w:space="720" w:num="1"/>
          <w:docGrid w:linePitch="1" w:charSpace="0"/>
        </w:sectPr>
      </w:pPr>
    </w:p>
    <w:p w14:paraId="36AF2183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C3FFAB2">
      <w:pPr>
        <w:spacing w:before="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bookmarkStart w:id="11" w:name="br12"/>
      <w:bookmarkEnd w:id="11"/>
      <w:r>
        <w:pict>
          <v:shape id="_x0000_s1123" o:spid="_x0000_s1123" o:spt="75" type="#_x0000_t75" style="position:absolute;left:0pt;margin-left:206.2pt;margin-top:134.45pt;height:3pt;width:50.75pt;mso-position-horizontal-relative:page;mso-position-vertical-relative:page;z-index:-251603968;mso-width-relative:page;mso-height-relative:page;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</v:shape>
        </w:pict>
      </w:r>
      <w:r>
        <w:pict>
          <v:shape id="_x0000_s1124" o:spid="_x0000_s1124" o:spt="75" type="#_x0000_t75" style="position:absolute;left:0pt;margin-left:206.2pt;margin-top:254.45pt;height:3pt;width:50.75pt;mso-position-horizontal-relative:page;mso-position-vertical-relative:page;z-index:-251604992;mso-width-relative:page;mso-height-relative:page;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</v:shape>
        </w:pict>
      </w:r>
      <w:r>
        <w:pict>
          <v:shape id="_x0000_s1125" o:spid="_x0000_s1125" o:spt="75" type="#_x0000_t75" style="position:absolute;left:0pt;margin-left:-1pt;margin-top:-1pt;height:3pt;width:3pt;mso-position-horizontal-relative:page;mso-position-vertical-relative:page;z-index:-251606016;mso-width-relative:page;mso-height-relative:page;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</v:shape>
        </w:pict>
      </w:r>
      <w:r>
        <w:pict>
          <v:shape id="_x0000_s1126" o:spid="_x0000_s1126" o:spt="75" type="#_x0000_t75" style="position:absolute;left:0pt;margin-left:145pt;margin-top:524.1pt;height:3pt;width:14pt;mso-position-horizontal-relative:page;mso-position-vertical-relative:page;z-index:-251607040;mso-width-relative:page;mso-height-relative:page;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</v:shape>
        </w:pict>
      </w:r>
      <w:r>
        <w:pict>
          <v:shape id="_x0000_s1127" o:spid="_x0000_s1127" o:spt="75" type="#_x0000_t75" style="position:absolute;left:0pt;margin-left:397pt;margin-top:524.1pt;height:3pt;width:49.8pt;mso-position-horizontal-relative:page;mso-position-vertical-relative:page;z-index:-251608064;mso-width-relative:page;mso-height-relative:page;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</v:shape>
        </w:pict>
      </w:r>
      <w:r>
        <w:pict>
          <v:shape id="_x0000_s1128" o:spid="_x0000_s1128" o:spt="75" type="#_x0000_t75" style="position:absolute;left:0pt;margin-left:61pt;margin-top:554.1pt;height:3pt;width:14pt;mso-position-horizontal-relative:page;mso-position-vertical-relative:page;z-index:-251609088;mso-width-relative:page;mso-height-relative:page;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</v:shape>
        </w:pict>
      </w:r>
      <w:r>
        <w:pict>
          <v:shape id="_x0000_s1129" o:spid="_x0000_s1129" o:spt="75" type="#_x0000_t75" style="position:absolute;left:0pt;margin-left:320.95pt;margin-top:554.1pt;height:3pt;width:75.55pt;mso-position-horizontal-relative:page;mso-position-vertical-relative:page;z-index:-251610112;mso-width-relative:page;mso-height-relative:page;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</v:shape>
        </w:pict>
      </w:r>
      <w:r>
        <w:pict>
          <v:shape id="_x0000_s1130" o:spid="_x0000_s1130" o:spt="75" type="#_x0000_t75" style="position:absolute;left:0pt;margin-left:458.45pt;margin-top:554.1pt;height:3pt;width:23.5pt;mso-position-horizontal-relative:page;mso-position-vertical-relative:page;z-index:-251611136;mso-width-relative:page;mso-height-relative:page;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</v:shape>
        </w:pict>
      </w:r>
      <w:r>
        <w:pict>
          <v:shape id="_x0000_s1131" o:spid="_x0000_s1131" o:spt="75" type="#_x0000_t75" style="position:absolute;left:0pt;margin-left:157pt;margin-top:584.1pt;height:3pt;width:71.5pt;mso-position-horizontal-relative:page;mso-position-vertical-relative:page;z-index:-251612160;mso-width-relative:page;mso-height-relative:page;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</v:shape>
        </w:pict>
      </w:r>
      <w:r>
        <w:pict>
          <v:shape id="_x0000_s1132" o:spid="_x0000_s1132" o:spt="75" type="#_x0000_t75" style="position:absolute;left:0pt;margin-left:290.6pt;margin-top:584.1pt;height:3pt;width:54.4pt;mso-position-horizontal-relative:page;mso-position-vertical-relative:page;z-index:-251613184;mso-width-relative:page;mso-height-relative:page;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</v:shape>
        </w:pict>
      </w:r>
      <w:r>
        <w:pict>
          <v:shape id="_x0000_s1133" o:spid="_x0000_s1133" o:spt="75" type="#_x0000_t75" style="position:absolute;left:0pt;margin-left:413.1pt;margin-top:614.1pt;height:3pt;width:31.3pt;mso-position-horizontal-relative:page;mso-position-vertical-relative:page;z-index:-251614208;mso-width-relative:page;mso-height-relative:page;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</v:shape>
        </w:pict>
      </w:r>
      <w:r>
        <w:pict>
          <v:shape id="_x0000_s1134" o:spid="_x0000_s1134" o:spt="75" type="#_x0000_t75" style="position:absolute;left:0pt;margin-left:159.3pt;margin-top:644.1pt;height:3pt;width:13.5pt;mso-position-horizontal-relative:page;mso-position-vertical-relative:page;z-index:-251615232;mso-width-relative:page;mso-height-relative:page;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</v:shape>
        </w:pict>
      </w:r>
      <w:r>
        <w:pict>
          <v:shape id="_x0000_s1135" o:spid="_x0000_s1135" o:spt="75" type="#_x0000_t75" style="position:absolute;left:0pt;margin-left:249.05pt;margin-top:644.1pt;height:3pt;width:26.95pt;mso-position-horizontal-relative:page;mso-position-vertical-relative:page;z-index:-251616256;mso-width-relative:page;mso-height-relative:page;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</v:shape>
        </w:pict>
      </w:r>
      <w:r>
        <w:pict>
          <v:shape id="_x0000_s1136" o:spid="_x0000_s1136" o:spt="75" type="#_x0000_t75" style="position:absolute;left:0pt;margin-left:309.8pt;margin-top:674.1pt;height:3pt;width:53.2pt;mso-position-horizontal-relative:page;mso-position-vertical-relative:page;z-index:-251617280;mso-width-relative:page;mso-height-relative:page;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</v:shape>
        </w:pict>
      </w:r>
      <w:r>
        <w:pict>
          <v:shape id="_x0000_s1137" o:spid="_x0000_s1137" o:spt="75" type="#_x0000_t75" style="position:absolute;left:0pt;margin-left:61.85pt;margin-top:704.1pt;height:3pt;width:70.15pt;mso-position-horizontal-relative:page;mso-position-vertical-relative:page;z-index:-251618304;mso-width-relative:page;mso-height-relative:page;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</v:shape>
        </w:pict>
      </w:r>
      <w:r>
        <w:pict>
          <v:shape id="_x0000_s1138" o:spid="_x0000_s1138" o:spt="75" type="#_x0000_t75" style="position:absolute;left:0pt;margin-left:373pt;margin-top:734.1pt;height:3pt;width:45pt;mso-position-horizontal-relative:page;mso-position-vertical-relative:page;z-index:-251619328;mso-width-relative:page;mso-height-relative:page;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</v:shape>
        </w:pict>
      </w:r>
      <w:r>
        <w:pict>
          <v:shape id="_x0000_s1139" o:spid="_x0000_s1139" o:spt="75" type="#_x0000_t75" style="position:absolute;left:0pt;margin-left:293pt;margin-top:764.1pt;height:3pt;width:70pt;mso-position-horizontal-relative:page;mso-position-vertical-relative:page;z-index:-251620352;mso-width-relative:page;mso-height-relative:page;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</v:shape>
        </w:pict>
      </w:r>
      <w:r>
        <w:rPr>
          <w:rFonts w:ascii="黑体" w:hAnsi="黑体" w:cs="黑体"/>
          <w:color w:val="000000"/>
          <w:spacing w:val="0"/>
          <w:sz w:val="32"/>
        </w:rPr>
        <w:t>六、一般公共预算基本支出预算情况说明</w:t>
      </w:r>
    </w:p>
    <w:p w14:paraId="1940740D">
      <w:pPr>
        <w:spacing w:before="261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（一）人员经费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NOMAKA+TimesNewRomanPS-Bold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408"/>
          <w:sz w:val="32"/>
        </w:rPr>
        <w:t xml:space="preserve"> </w:t>
      </w:r>
      <w:r>
        <w:rPr>
          <w:rFonts w:ascii="仿宋" w:hAnsi="仿宋" w:cs="仿宋"/>
          <w:color w:val="000000"/>
          <w:spacing w:val="3"/>
          <w:sz w:val="32"/>
        </w:rPr>
        <w:t>万元。主要包括：基本工资、津贴补</w:t>
      </w:r>
    </w:p>
    <w:p w14:paraId="3F9933A1">
      <w:pPr>
        <w:spacing w:before="24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贴、奖金、伙食补助费、绩效工资、住房公积金、医疗费、其他</w:t>
      </w:r>
    </w:p>
    <w:p w14:paraId="50D20DF5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工资福利支出、离休费、退休费、抚恤金、奖励金、其他对个人</w:t>
      </w:r>
    </w:p>
    <w:p w14:paraId="56B58D93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和家庭的补助等。</w:t>
      </w:r>
    </w:p>
    <w:p w14:paraId="3FBBDC2F">
      <w:pPr>
        <w:spacing w:before="261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"/>
          <w:sz w:val="32"/>
        </w:rPr>
        <w:t>（二）公用经费</w:t>
      </w:r>
      <w:r>
        <w:rPr>
          <w:rFonts w:ascii="Times New Roman"/>
          <w:color w:val="000000"/>
          <w:spacing w:val="407"/>
          <w:sz w:val="32"/>
        </w:rPr>
        <w:t xml:space="preserve"> </w:t>
      </w:r>
      <w:r>
        <w:rPr>
          <w:rFonts w:ascii="NOMAKA+TimesNewRomanPS-Bold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仿宋" w:hAnsi="仿宋" w:cs="仿宋"/>
          <w:color w:val="000000"/>
          <w:spacing w:val="3"/>
          <w:sz w:val="32"/>
        </w:rPr>
        <w:t>万元。主要包括：办公费、印刷费、</w:t>
      </w:r>
    </w:p>
    <w:p w14:paraId="23668561">
      <w:pPr>
        <w:spacing w:before="24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咨询费、手续费、水费、电费、邮电费、取暖费、物业管理费、</w:t>
      </w:r>
    </w:p>
    <w:p w14:paraId="36F31052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3"/>
          <w:sz w:val="32"/>
        </w:rPr>
        <w:t>差旅费、维修（护）费、租赁费、会议费、培训费、公务接待费、</w:t>
      </w:r>
    </w:p>
    <w:p w14:paraId="7BF8162A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专用材料费、劳务费、委托业务费、工会经费、福利费、公务用</w:t>
      </w:r>
    </w:p>
    <w:p w14:paraId="576F56F8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车运行维护费、其他交通费用、其他商品和服务支出、办公设备</w:t>
      </w:r>
    </w:p>
    <w:p w14:paraId="41F25993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购置、专用设备购置、信息网络及软件购置更新、其他资本性支</w:t>
      </w:r>
    </w:p>
    <w:p w14:paraId="659C77E7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出等。</w:t>
      </w:r>
    </w:p>
    <w:p w14:paraId="2B7A9EF4">
      <w:pPr>
        <w:spacing w:before="271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七、一般公共预算“三公”经费支出预算情况说明</w:t>
      </w:r>
    </w:p>
    <w:p w14:paraId="4C798B20">
      <w:pPr>
        <w:spacing w:before="261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  <w:u w:val="single"/>
        </w:rPr>
        <w:t>通辽市人民医院</w:t>
      </w:r>
      <w:r>
        <w:rPr>
          <w:rFonts w:ascii="Times New Roman"/>
          <w:color w:val="000000"/>
          <w:spacing w:val="-23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2025</w:t>
      </w:r>
      <w:r>
        <w:rPr>
          <w:rFonts w:ascii="Times New Roman"/>
          <w:color w:val="000000"/>
          <w:spacing w:val="-2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年度一般公共预算拨款安排的</w:t>
      </w:r>
      <w:r>
        <w:rPr>
          <w:rFonts w:ascii="LDJKVE+TimesNewRomanPSMT" w:hAnsi="LDJKVE+TimesNewRomanPSMT" w:cs="LDJKVE+TimesNewRomanPSMT"/>
          <w:color w:val="000000"/>
          <w:spacing w:val="0"/>
          <w:sz w:val="32"/>
        </w:rPr>
        <w:t>“</w:t>
      </w:r>
      <w:r>
        <w:rPr>
          <w:rFonts w:ascii="仿宋" w:hAnsi="仿宋" w:cs="仿宋"/>
          <w:color w:val="000000"/>
          <w:spacing w:val="-1"/>
          <w:sz w:val="32"/>
        </w:rPr>
        <w:t>三公</w:t>
      </w:r>
      <w:r>
        <w:rPr>
          <w:rFonts w:ascii="LDJKVE+TimesNewRomanPSMT" w:hAnsi="LDJKVE+TimesNewRomanPSMT" w:cs="LDJKVE+TimesNewRomanPSMT"/>
          <w:color w:val="000000"/>
          <w:spacing w:val="2"/>
          <w:sz w:val="32"/>
        </w:rPr>
        <w:t>”</w:t>
      </w:r>
      <w:r>
        <w:rPr>
          <w:rFonts w:ascii="仿宋" w:hAnsi="仿宋" w:cs="仿宋"/>
          <w:color w:val="000000"/>
          <w:spacing w:val="0"/>
          <w:sz w:val="32"/>
        </w:rPr>
        <w:t>经</w:t>
      </w:r>
    </w:p>
    <w:p w14:paraId="06C66CBD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费预算支出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万元，其中因公出国（境）费支出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仿宋" w:hAnsi="仿宋" w:cs="仿宋"/>
          <w:color w:val="000000"/>
          <w:spacing w:val="28"/>
          <w:sz w:val="32"/>
        </w:rPr>
        <w:t>万元，占</w:t>
      </w:r>
    </w:p>
    <w:p w14:paraId="6B8C4E81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%；公务用车购置及运行维护费支出</w:t>
      </w:r>
      <w:r>
        <w:rPr>
          <w:rFonts w:ascii="Times New Roman"/>
          <w:color w:val="000000"/>
          <w:spacing w:val="91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46"/>
          <w:sz w:val="32"/>
        </w:rPr>
        <w:t>%；公</w:t>
      </w:r>
    </w:p>
    <w:p w14:paraId="6534691C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务接待费支出</w:t>
      </w:r>
      <w:r>
        <w:rPr>
          <w:rFonts w:ascii="Times New Roman"/>
          <w:color w:val="000000"/>
          <w:spacing w:val="670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398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330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40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%。具体情况如下：</w:t>
      </w:r>
    </w:p>
    <w:p w14:paraId="4407FD4A">
      <w:pPr>
        <w:spacing w:before="237" w:after="0" w:line="363" w:lineRule="exact"/>
        <w:ind w:left="67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一般公共预算拨款安排的</w:t>
      </w:r>
      <w:r>
        <w:rPr>
          <w:rFonts w:ascii="LDJKVE+TimesNewRomanPSMT" w:hAnsi="LDJKVE+TimesNewRomanPSMT" w:cs="LDJKVE+TimesNewRomanPSMT"/>
          <w:color w:val="000000"/>
          <w:spacing w:val="0"/>
          <w:sz w:val="32"/>
        </w:rPr>
        <w:t>“</w:t>
      </w:r>
      <w:r>
        <w:rPr>
          <w:rFonts w:ascii="仿宋" w:hAnsi="仿宋" w:cs="仿宋"/>
          <w:color w:val="000000"/>
          <w:spacing w:val="0"/>
          <w:sz w:val="32"/>
        </w:rPr>
        <w:t>三公</w:t>
      </w:r>
      <w:r>
        <w:rPr>
          <w:rFonts w:ascii="LDJKVE+TimesNewRomanPSMT" w:hAnsi="LDJKVE+TimesNewRomanPSMT" w:cs="LDJKVE+TimesNewRomanPSMT"/>
          <w:color w:val="000000"/>
          <w:spacing w:val="0"/>
          <w:sz w:val="32"/>
        </w:rPr>
        <w:t>”</w:t>
      </w:r>
      <w:r>
        <w:rPr>
          <w:rFonts w:ascii="仿宋" w:hAnsi="仿宋" w:cs="仿宋"/>
          <w:color w:val="000000"/>
          <w:spacing w:val="0"/>
          <w:sz w:val="32"/>
        </w:rPr>
        <w:t>经费预算支出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仿宋" w:hAnsi="仿宋" w:cs="仿宋"/>
          <w:color w:val="000000"/>
          <w:spacing w:val="-4"/>
          <w:sz w:val="32"/>
        </w:rPr>
        <w:t>万元，比</w:t>
      </w:r>
    </w:p>
    <w:p w14:paraId="18AC505C">
      <w:pPr>
        <w:spacing w:before="237" w:after="0" w:line="363" w:lineRule="exact"/>
        <w:ind w:left="2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9"/>
          <w:sz w:val="32"/>
        </w:rPr>
        <w:t>上年预算增加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-10"/>
          <w:sz w:val="32"/>
        </w:rPr>
        <w:t xml:space="preserve"> </w:t>
      </w:r>
      <w:r>
        <w:rPr>
          <w:rFonts w:ascii="仿宋" w:hAnsi="仿宋" w:cs="仿宋"/>
          <w:color w:val="000000"/>
          <w:spacing w:val="-9"/>
          <w:sz w:val="32"/>
        </w:rPr>
        <w:t>万元，增长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442"/>
          <w:sz w:val="32"/>
        </w:rPr>
        <w:t xml:space="preserve"> </w:t>
      </w:r>
      <w:r>
        <w:rPr>
          <w:rFonts w:ascii="仿宋" w:hAnsi="仿宋" w:cs="仿宋"/>
          <w:color w:val="000000"/>
          <w:spacing w:val="-7"/>
          <w:sz w:val="32"/>
        </w:rPr>
        <w:t>%；其中：</w:t>
      </w:r>
    </w:p>
    <w:p w14:paraId="74584535">
      <w:pPr>
        <w:spacing w:before="237" w:after="0" w:line="363" w:lineRule="exact"/>
        <w:ind w:left="65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1"/>
          <w:sz w:val="32"/>
        </w:rPr>
        <w:t>1</w:t>
      </w:r>
      <w:r>
        <w:rPr>
          <w:rFonts w:ascii="仿宋" w:hAnsi="仿宋" w:cs="仿宋"/>
          <w:color w:val="000000"/>
          <w:spacing w:val="0"/>
          <w:sz w:val="32"/>
        </w:rPr>
        <w:t>．因公出国（境）费预算支出</w:t>
      </w:r>
      <w:r>
        <w:rPr>
          <w:rFonts w:ascii="Times New Roman"/>
          <w:color w:val="000000"/>
          <w:spacing w:val="464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-16"/>
          <w:sz w:val="32"/>
        </w:rPr>
        <w:t>万元，比上年预算增加</w:t>
      </w:r>
    </w:p>
    <w:p w14:paraId="7487267F">
      <w:pPr>
        <w:spacing w:before="237" w:after="0" w:line="363" w:lineRule="exact"/>
        <w:ind w:left="5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56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万元，主要原因不存在此项内容。</w:t>
      </w:r>
    </w:p>
    <w:p w14:paraId="03C14B09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1"/>
          <w:sz w:val="32"/>
        </w:rPr>
        <w:t>2</w:t>
      </w:r>
      <w:r>
        <w:rPr>
          <w:rFonts w:ascii="仿宋" w:hAnsi="仿宋" w:cs="仿宋"/>
          <w:color w:val="000000"/>
          <w:spacing w:val="0"/>
          <w:sz w:val="32"/>
        </w:rPr>
        <w:t>．公务用车购置及运行维护费预算支出</w:t>
      </w:r>
      <w:r>
        <w:rPr>
          <w:rFonts w:ascii="Times New Roman"/>
          <w:color w:val="000000"/>
          <w:spacing w:val="82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万元。其中：</w:t>
      </w:r>
    </w:p>
    <w:p w14:paraId="7F57D8B1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（</w:t>
      </w:r>
      <w:r>
        <w:rPr>
          <w:rFonts w:ascii="LDJKVE+TimesNewRomanPSMT"/>
          <w:color w:val="000000"/>
          <w:spacing w:val="-2"/>
          <w:sz w:val="32"/>
        </w:rPr>
        <w:t>1</w:t>
      </w:r>
      <w:r>
        <w:rPr>
          <w:rFonts w:ascii="仿宋" w:hAnsi="仿宋" w:cs="仿宋"/>
          <w:color w:val="000000"/>
          <w:spacing w:val="0"/>
          <w:sz w:val="32"/>
        </w:rPr>
        <w:t>）公务用车购置预算支出</w:t>
      </w:r>
      <w:r>
        <w:rPr>
          <w:rFonts w:ascii="Times New Roman"/>
          <w:color w:val="000000"/>
          <w:spacing w:val="48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562"/>
          <w:sz w:val="32"/>
        </w:rPr>
        <w:t xml:space="preserve"> </w:t>
      </w:r>
      <w:r>
        <w:rPr>
          <w:rFonts w:ascii="仿宋" w:hAnsi="仿宋" w:cs="仿宋"/>
          <w:color w:val="000000"/>
          <w:spacing w:val="-16"/>
          <w:sz w:val="32"/>
        </w:rPr>
        <w:t>万元，比上年预算增加</w:t>
      </w:r>
    </w:p>
    <w:p w14:paraId="0A875086">
      <w:pPr>
        <w:spacing w:before="360" w:after="0" w:line="260" w:lineRule="exact"/>
        <w:ind w:left="40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等线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1"/>
          <w:sz w:val="24"/>
        </w:rPr>
        <w:t>12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-</w:t>
      </w:r>
    </w:p>
    <w:p w14:paraId="040D7AB4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7C28612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722B936">
      <w:pPr>
        <w:pStyle w:val="4"/>
        <w:sectPr>
          <w:pgSz w:w="11900" w:h="16840"/>
          <w:pgMar w:top="1786" w:right="100" w:bottom="0" w:left="1241" w:header="720" w:footer="720" w:gutter="0"/>
          <w:pgNumType w:start="1"/>
          <w:cols w:space="720" w:num="1"/>
          <w:docGrid w:linePitch="1" w:charSpace="0"/>
        </w:sectPr>
      </w:pPr>
    </w:p>
    <w:p w14:paraId="4ABE3A3A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8A74AE5">
      <w:pPr>
        <w:spacing w:before="0" w:after="0" w:line="363" w:lineRule="exact"/>
        <w:ind w:left="739" w:right="0" w:firstLine="0"/>
        <w:jc w:val="left"/>
        <w:rPr>
          <w:rFonts w:ascii="Times New Roman"/>
          <w:color w:val="000000"/>
          <w:spacing w:val="0"/>
          <w:sz w:val="32"/>
        </w:rPr>
      </w:pPr>
      <w:bookmarkStart w:id="12" w:name="br13"/>
      <w:bookmarkEnd w:id="12"/>
      <w:r>
        <w:pict>
          <v:shape id="_x0000_s1140" o:spid="_x0000_s1140" o:spt="75" type="#_x0000_t75" style="position:absolute;left:0pt;margin-left:61pt;margin-top:104.1pt;height:3pt;width:71pt;mso-position-horizontal-relative:page;mso-position-vertical-relative:page;z-index:-251621376;mso-width-relative:page;mso-height-relative:page;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</v:shape>
        </w:pict>
      </w:r>
      <w:r>
        <w:pict>
          <v:shape id="_x0000_s1141" o:spid="_x0000_s1141" o:spt="75" type="#_x0000_t75" style="position:absolute;left:0pt;margin-left:341pt;margin-top:134.1pt;height:3pt;width:32pt;mso-position-horizontal-relative:page;mso-position-vertical-relative:page;z-index:-251622400;mso-width-relative:page;mso-height-relative:page;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</v:shape>
        </w:pict>
      </w:r>
      <w:r>
        <w:pict>
          <v:shape id="_x0000_s1142" o:spid="_x0000_s1142" o:spt="75" type="#_x0000_t75" style="position:absolute;left:0pt;margin-left:77pt;margin-top:164.1pt;height:3pt;width:50pt;mso-position-horizontal-relative:page;mso-position-vertical-relative:page;z-index:-251623424;mso-width-relative:page;mso-height-relative:page;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</v:shape>
        </w:pict>
      </w:r>
      <w:r>
        <w:pict>
          <v:shape id="_x0000_s1143" o:spid="_x0000_s1143" o:spt="75" type="#_x0000_t75" style="position:absolute;left:0pt;margin-left:260.95pt;margin-top:194.1pt;height:3pt;width:28.05pt;mso-position-horizontal-relative:page;mso-position-vertical-relative:page;z-index:-251624448;mso-width-relative:page;mso-height-relative:page;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</v:shape>
        </w:pict>
      </w:r>
      <w:r>
        <w:pict>
          <v:shape id="_x0000_s1144" o:spid="_x0000_s1144" o:spt="75" type="#_x0000_t75" style="position:absolute;left:0pt;margin-left:440.95pt;margin-top:194.1pt;height:3pt;width:34.05pt;mso-position-horizontal-relative:page;mso-position-vertical-relative:page;z-index:-251625472;mso-width-relative:page;mso-height-relative:page;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</v:shape>
        </w:pict>
      </w:r>
      <w:r>
        <w:pict>
          <v:shape id="_x0000_s1145" o:spid="_x0000_s1145" o:spt="75" type="#_x0000_t75" style="position:absolute;left:0pt;margin-left:-1pt;margin-top:-1pt;height:3pt;width:3pt;mso-position-horizontal-relative:page;mso-position-vertical-relative:page;z-index:-251626496;mso-width-relative:page;mso-height-relative:page;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</v:shape>
        </w:pict>
      </w:r>
      <w:r>
        <w:pict>
          <v:shape id="_x0000_s1146" o:spid="_x0000_s1146" o:spt="75" type="#_x0000_t75" style="position:absolute;left:0pt;margin-left:437.8pt;margin-top:284.1pt;height:3pt;width:28.2pt;mso-position-horizontal-relative:page;mso-position-vertical-relative:page;z-index:-251627520;mso-width-relative:page;mso-height-relative:page;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</v:shape>
        </w:pict>
      </w:r>
      <w:r>
        <w:pict>
          <v:shape id="_x0000_s1147" o:spid="_x0000_s1147" o:spt="75" type="#_x0000_t75" style="position:absolute;left:0pt;margin-left:173.8pt;margin-top:314.1pt;height:3pt;width:39.2pt;mso-position-horizontal-relative:page;mso-position-vertical-relative:page;z-index:-251628544;mso-width-relative:page;mso-height-relative:page;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</v:shape>
        </w:pict>
      </w:r>
      <w:r>
        <w:pict>
          <v:shape id="_x0000_s1148" o:spid="_x0000_s1148" o:spt="75" type="#_x0000_t75" style="position:absolute;left:0pt;margin-left:290pt;margin-top:314.1pt;height:3pt;width:41.95pt;mso-position-horizontal-relative:page;mso-position-vertical-relative:page;z-index:-251629568;mso-width-relative:page;mso-height-relative:page;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</v:shape>
        </w:pict>
      </w:r>
      <w:r>
        <w:pict>
          <v:shape id="_x0000_s1149" o:spid="_x0000_s1149" o:spt="75" type="#_x0000_t75" style="position:absolute;left:0pt;margin-left:437pt;margin-top:404.1pt;height:3pt;width:29pt;mso-position-horizontal-relative:page;mso-position-vertical-relative:page;z-index:-251630592;mso-width-relative:page;mso-height-relative:page;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</v:shape>
        </w:pict>
      </w:r>
      <w:r>
        <w:pict>
          <v:shape id="_x0000_s1150" o:spid="_x0000_s1150" o:spt="75" type="#_x0000_t75" style="position:absolute;left:0pt;margin-left:173pt;margin-top:434.1pt;height:3pt;width:32pt;mso-position-horizontal-relative:page;mso-position-vertical-relative:page;z-index:-251631616;mso-width-relative:page;mso-height-relative:page;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</v:shape>
        </w:pict>
      </w:r>
      <w:r>
        <w:pict>
          <v:shape id="_x0000_s1151" o:spid="_x0000_s1151" o:spt="75" type="#_x0000_t75" style="position:absolute;left:0pt;margin-left:283pt;margin-top:434.1pt;height:3pt;width:35pt;mso-position-horizontal-relative:page;mso-position-vertical-relative:page;z-index:-251632640;mso-width-relative:page;mso-height-relative:page;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</v:shape>
        </w:pict>
      </w:r>
      <w:r>
        <w:pict>
          <v:shape id="_x0000_s1152" o:spid="_x0000_s1152" o:spt="75" type="#_x0000_t75" style="position:absolute;left:0pt;margin-left:373pt;margin-top:524.1pt;height:3pt;width:45.35pt;mso-position-horizontal-relative:page;mso-position-vertical-relative:page;z-index:-251633664;mso-width-relative:page;mso-height-relative:page;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</v:shape>
        </w:pict>
      </w:r>
      <w:r>
        <w:pict>
          <v:shape id="_x0000_s1153" o:spid="_x0000_s1153" o:spt="75" type="#_x0000_t75" style="position:absolute;left:0pt;margin-left:109pt;margin-top:554.1pt;height:3pt;width:129pt;mso-position-horizontal-relative:page;mso-position-vertical-relative:page;z-index:-251634688;mso-width-relative:page;mso-height-relative:page;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</v:shape>
        </w:pict>
      </w:r>
      <w:r>
        <w:pict>
          <v:shape id="_x0000_s1154" o:spid="_x0000_s1154" o:spt="75" type="#_x0000_t75" style="position:absolute;left:0pt;margin-left:449pt;margin-top:554.1pt;height:3pt;width:50pt;mso-position-horizontal-relative:page;mso-position-vertical-relative:page;z-index:-251635712;mso-width-relative:page;mso-height-relative:page;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</v:shape>
        </w:pict>
      </w:r>
      <w:r>
        <w:pict>
          <v:shape id="_x0000_s1155" o:spid="_x0000_s1155" o:spt="75" type="#_x0000_t75" style="position:absolute;left:0pt;margin-left:221pt;margin-top:584.1pt;height:3pt;width:131.2pt;mso-position-horizontal-relative:page;mso-position-vertical-relative:page;z-index:-251636736;mso-width-relative:page;mso-height-relative:page;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</v:shape>
        </w:pict>
      </w:r>
      <w:r>
        <w:pict>
          <v:shape id="_x0000_s1156" o:spid="_x0000_s1156" o:spt="75" type="#_x0000_t75" style="position:absolute;left:0pt;margin-left:82pt;margin-top:614.1pt;height:3pt;width:33.95pt;mso-position-horizontal-relative:page;mso-position-vertical-relative:page;z-index:-251637760;mso-width-relative:page;mso-height-relative:page;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</v:shape>
        </w:pict>
      </w:r>
      <w:r>
        <w:pict>
          <v:shape id="_x0000_s1157" o:spid="_x0000_s1157" o:spt="75" type="#_x0000_t75" style="position:absolute;left:0pt;margin-left:226pt;margin-top:614.1pt;height:3pt;width:81pt;mso-position-horizontal-relative:page;mso-position-vertical-relative:page;z-index:-251638784;mso-width-relative:page;mso-height-relative:page;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</v:shape>
        </w:pict>
      </w:r>
      <w:r>
        <w:pict>
          <v:shape id="_x0000_s1158" o:spid="_x0000_s1158" o:spt="75" type="#_x0000_t75" style="position:absolute;left:0pt;margin-left:437pt;margin-top:674.1pt;height:3pt;width:16pt;mso-position-horizontal-relative:page;mso-position-vertical-relative:page;z-index:-251639808;mso-width-relative:page;mso-height-relative:page;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</v:shape>
        </w:pict>
      </w:r>
      <w:r>
        <w:pict>
          <v:shape id="_x0000_s1159" o:spid="_x0000_s1159" o:spt="75" type="#_x0000_t75" style="position:absolute;left:0pt;margin-left:157pt;margin-top:704.1pt;height:3pt;width:42.95pt;mso-position-horizontal-relative:page;mso-position-vertical-relative:page;z-index:-251640832;mso-width-relative:page;mso-height-relative:page;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</v:shape>
        </w:pict>
      </w:r>
      <w:r>
        <w:pict>
          <v:shape id="_x0000_s1160" o:spid="_x0000_s1160" o:spt="75" type="#_x0000_t75" style="position:absolute;left:0pt;margin-left:278pt;margin-top:704.1pt;height:3pt;width:40pt;mso-position-horizontal-relative:page;mso-position-vertical-relative:page;z-index:-251641856;mso-width-relative:page;mso-height-relative:page;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</v:shape>
        </w:pic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40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万元，主要原因不存在此项内容。</w:t>
      </w:r>
    </w:p>
    <w:p w14:paraId="4D7D1A34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（</w:t>
      </w:r>
      <w:r>
        <w:rPr>
          <w:rFonts w:ascii="LDJKVE+TimesNewRomanPSMT"/>
          <w:color w:val="000000"/>
          <w:spacing w:val="-2"/>
          <w:sz w:val="32"/>
        </w:rPr>
        <w:t>2</w:t>
      </w:r>
      <w:r>
        <w:rPr>
          <w:rFonts w:ascii="仿宋" w:hAnsi="仿宋" w:cs="仿宋"/>
          <w:color w:val="000000"/>
          <w:spacing w:val="0"/>
          <w:sz w:val="32"/>
        </w:rPr>
        <w:t>）公务用车运行维护费预算支出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仿宋" w:hAnsi="仿宋" w:cs="仿宋"/>
          <w:color w:val="000000"/>
          <w:spacing w:val="-4"/>
          <w:sz w:val="32"/>
        </w:rPr>
        <w:t>万元，比上年预算增</w:t>
      </w:r>
    </w:p>
    <w:p w14:paraId="7FE019DE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加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56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万元，主要原因不存在此项内容。</w:t>
      </w:r>
    </w:p>
    <w:p w14:paraId="5C93642A">
      <w:pPr>
        <w:spacing w:before="237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1"/>
          <w:sz w:val="32"/>
        </w:rPr>
        <w:t>3</w:t>
      </w:r>
      <w:r>
        <w:rPr>
          <w:rFonts w:ascii="仿宋" w:hAnsi="仿宋" w:cs="仿宋"/>
          <w:color w:val="000000"/>
          <w:spacing w:val="0"/>
          <w:sz w:val="32"/>
        </w:rPr>
        <w:t>．公务接待费预算支出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仿宋" w:hAnsi="仿宋" w:cs="仿宋"/>
          <w:color w:val="000000"/>
          <w:spacing w:val="-12"/>
          <w:sz w:val="32"/>
        </w:rPr>
        <w:t>万元，比上年预算增加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</w:t>
      </w:r>
    </w:p>
    <w:p w14:paraId="280EC8E6">
      <w:pPr>
        <w:spacing w:before="24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主要原因不存在此项内容。</w:t>
      </w:r>
    </w:p>
    <w:p w14:paraId="73010524">
      <w:pPr>
        <w:spacing w:before="271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八、政府性基金预算支出预算情况说明</w:t>
      </w:r>
    </w:p>
    <w:p w14:paraId="54ACA069">
      <w:pPr>
        <w:spacing w:before="261" w:after="0" w:line="363" w:lineRule="exact"/>
        <w:ind w:left="65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  <w:u w:val="single"/>
        </w:rPr>
        <w:t>通辽市人民医院</w:t>
      </w:r>
      <w:r>
        <w:rPr>
          <w:rFonts w:ascii="Times New Roman"/>
          <w:color w:val="000000"/>
          <w:spacing w:val="1"/>
          <w:sz w:val="32"/>
          <w:u w:val="single"/>
        </w:rPr>
        <w:t xml:space="preserve"> </w:t>
      </w:r>
      <w:r>
        <w:rPr>
          <w:rFonts w:ascii="仿宋"/>
          <w:color w:val="000000"/>
          <w:spacing w:val="0"/>
          <w:sz w:val="32"/>
          <w:u w:val="single"/>
        </w:rPr>
        <w:t>2025</w:t>
      </w:r>
      <w:r>
        <w:rPr>
          <w:rFonts w:ascii="Times New Roman"/>
          <w:color w:val="000000"/>
          <w:spacing w:val="0"/>
          <w:sz w:val="32"/>
          <w:u w:val="single"/>
        </w:rPr>
        <w:t xml:space="preserve"> </w:t>
      </w:r>
      <w:r>
        <w:rPr>
          <w:rFonts w:ascii="Times New Roman"/>
          <w:color w:val="000000"/>
          <w:spacing w:val="-8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度政府性基金支出预算支出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仿宋" w:hAnsi="仿宋" w:cs="仿宋"/>
          <w:color w:val="000000"/>
          <w:spacing w:val="10"/>
          <w:sz w:val="32"/>
        </w:rPr>
        <w:t>万元。</w:t>
      </w:r>
    </w:p>
    <w:p w14:paraId="5379B702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与上年相比增加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-6"/>
          <w:sz w:val="32"/>
        </w:rPr>
        <w:t>万元，增长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-2"/>
          <w:sz w:val="32"/>
        </w:rPr>
        <w:t>%。主要原因本年无政府性</w:t>
      </w:r>
    </w:p>
    <w:p w14:paraId="15FAFCF9">
      <w:pPr>
        <w:spacing w:before="24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基金预算支出。</w:t>
      </w:r>
    </w:p>
    <w:p w14:paraId="66FAEFB9">
      <w:pPr>
        <w:spacing w:before="271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九、国有资本经营预算支出预算情况说明</w:t>
      </w:r>
    </w:p>
    <w:p w14:paraId="6CA77A9F">
      <w:pPr>
        <w:spacing w:before="261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  <w:u w:val="single"/>
        </w:rPr>
        <w:t>通辽市人民医院</w:t>
      </w:r>
      <w:r>
        <w:rPr>
          <w:rFonts w:ascii="Times New Roman"/>
          <w:color w:val="000000"/>
          <w:spacing w:val="1"/>
          <w:sz w:val="32"/>
          <w:u w:val="single"/>
        </w:rPr>
        <w:t xml:space="preserve"> </w:t>
      </w:r>
      <w:r>
        <w:rPr>
          <w:rFonts w:ascii="仿宋"/>
          <w:color w:val="000000"/>
          <w:spacing w:val="0"/>
          <w:sz w:val="32"/>
          <w:u w:val="single"/>
        </w:rPr>
        <w:t>2025</w:t>
      </w:r>
      <w:r>
        <w:rPr>
          <w:rFonts w:ascii="Times New Roman"/>
          <w:color w:val="000000"/>
          <w:spacing w:val="0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年度国有资本经营预算支出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仿宋" w:hAnsi="仿宋" w:cs="仿宋"/>
          <w:color w:val="000000"/>
          <w:spacing w:val="10"/>
          <w:sz w:val="32"/>
        </w:rPr>
        <w:t>万元。</w:t>
      </w:r>
    </w:p>
    <w:p w14:paraId="597F876E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与上年相比增加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万元，增长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-5"/>
          <w:sz w:val="32"/>
        </w:rPr>
        <w:t>%。主要原因本年无国有资本</w:t>
      </w:r>
    </w:p>
    <w:p w14:paraId="04E7F976">
      <w:pPr>
        <w:spacing w:before="24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经营预算支出。</w:t>
      </w:r>
    </w:p>
    <w:p w14:paraId="4A52FBEA">
      <w:pPr>
        <w:spacing w:before="271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十、项目支出预算情况说明</w:t>
      </w:r>
    </w:p>
    <w:p w14:paraId="70D772B2">
      <w:pPr>
        <w:spacing w:before="261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  <w:u w:val="single"/>
        </w:rPr>
        <w:t>通辽市人民医院</w:t>
      </w:r>
      <w:r>
        <w:rPr>
          <w:rFonts w:ascii="Times New Roman"/>
          <w:color w:val="000000"/>
          <w:spacing w:val="1"/>
          <w:sz w:val="32"/>
          <w:u w:val="single"/>
        </w:rPr>
        <w:t xml:space="preserve"> </w:t>
      </w:r>
      <w:r>
        <w:rPr>
          <w:rFonts w:ascii="仿宋"/>
          <w:color w:val="000000"/>
          <w:spacing w:val="0"/>
          <w:sz w:val="32"/>
        </w:rPr>
        <w:t>2025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年度预算安排项目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LDJKVE+TimesNewRomanPSMT"/>
          <w:color w:val="000000"/>
          <w:spacing w:val="1"/>
          <w:sz w:val="32"/>
        </w:rPr>
        <w:t>13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仿宋" w:hAnsi="仿宋" w:cs="仿宋"/>
          <w:color w:val="000000"/>
          <w:spacing w:val="3"/>
          <w:sz w:val="32"/>
        </w:rPr>
        <w:t>个，项目预算</w:t>
      </w:r>
    </w:p>
    <w:p w14:paraId="638EA70B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总金额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169,690.469063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仿宋" w:hAnsi="仿宋" w:cs="仿宋"/>
          <w:color w:val="000000"/>
          <w:spacing w:val="-16"/>
          <w:sz w:val="32"/>
        </w:rPr>
        <w:t>万元。其中，财政本年拨款金额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LDJKVE+TimesNewRomanPSMT"/>
          <w:color w:val="000000"/>
          <w:spacing w:val="1"/>
          <w:sz w:val="32"/>
        </w:rPr>
        <w:t>400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</w:t>
      </w:r>
    </w:p>
    <w:p w14:paraId="62865A1B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元，财政拨款结转结余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1,290.469063</w:t>
      </w:r>
      <w:r>
        <w:rPr>
          <w:rFonts w:ascii="Times New Roman"/>
          <w:color w:val="000000"/>
          <w:spacing w:val="418"/>
          <w:sz w:val="32"/>
        </w:rPr>
        <w:t xml:space="preserve"> </w:t>
      </w:r>
      <w:r>
        <w:rPr>
          <w:rFonts w:ascii="仿宋" w:hAnsi="仿宋" w:cs="仿宋"/>
          <w:color w:val="000000"/>
          <w:spacing w:val="6"/>
          <w:sz w:val="32"/>
        </w:rPr>
        <w:t>万元，财政专户管理资</w:t>
      </w:r>
    </w:p>
    <w:p w14:paraId="3818DBFC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金</w:t>
      </w:r>
      <w:r>
        <w:rPr>
          <w:rFonts w:ascii="Times New Roman"/>
          <w:color w:val="000000"/>
          <w:spacing w:val="339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万元，单位资金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168,000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万元。</w:t>
      </w:r>
    </w:p>
    <w:p w14:paraId="56C72B22">
      <w:pPr>
        <w:spacing w:before="247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十一、机构运行经费支出预算情况说明</w:t>
      </w:r>
    </w:p>
    <w:p w14:paraId="725005BE">
      <w:pPr>
        <w:spacing w:before="261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  <w:u w:val="single"/>
        </w:rPr>
        <w:t>通辽市人民医院</w:t>
      </w:r>
      <w:r>
        <w:rPr>
          <w:rFonts w:ascii="Times New Roman"/>
          <w:color w:val="000000"/>
          <w:spacing w:val="1"/>
          <w:sz w:val="32"/>
          <w:u w:val="single"/>
        </w:rPr>
        <w:t xml:space="preserve"> </w:t>
      </w:r>
      <w:r>
        <w:rPr>
          <w:rFonts w:ascii="仿宋"/>
          <w:color w:val="000000"/>
          <w:spacing w:val="0"/>
          <w:sz w:val="32"/>
        </w:rPr>
        <w:t>2025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年度机构运行经费预算支出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10"/>
          <w:sz w:val="32"/>
        </w:rPr>
        <w:t>万元，与</w:t>
      </w:r>
    </w:p>
    <w:p w14:paraId="7B4A026D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上年相比增加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万元，增长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-5"/>
          <w:sz w:val="32"/>
        </w:rPr>
        <w:t>%。主要原因是：本单位无此</w:t>
      </w:r>
    </w:p>
    <w:p w14:paraId="24EFF8EE">
      <w:pPr>
        <w:spacing w:before="24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项支出。</w:t>
      </w:r>
    </w:p>
    <w:p w14:paraId="555C482F">
      <w:pPr>
        <w:spacing w:before="271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十二、政府采购支出预算情况说明</w:t>
      </w:r>
    </w:p>
    <w:p w14:paraId="41B04B01">
      <w:pPr>
        <w:spacing w:before="384" w:after="0" w:line="260" w:lineRule="exact"/>
        <w:ind w:left="40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等线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1"/>
          <w:sz w:val="24"/>
        </w:rPr>
        <w:t>13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-</w:t>
      </w:r>
    </w:p>
    <w:p w14:paraId="2B3811BE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237CA51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A5BAA1A">
      <w:pPr>
        <w:pStyle w:val="4"/>
        <w:sectPr>
          <w:pgSz w:w="11900" w:h="16840"/>
          <w:pgMar w:top="1776" w:right="100" w:bottom="0" w:left="1241" w:header="720" w:footer="720" w:gutter="0"/>
          <w:pgNumType w:start="1"/>
          <w:cols w:space="720" w:num="1"/>
          <w:docGrid w:linePitch="1" w:charSpace="0"/>
        </w:sectPr>
      </w:pPr>
    </w:p>
    <w:p w14:paraId="7FB410ED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382C7A2">
      <w:pPr>
        <w:spacing w:before="0" w:after="0" w:line="330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bookmarkStart w:id="13" w:name="br14"/>
      <w:bookmarkEnd w:id="13"/>
      <w:r>
        <w:pict>
          <v:shape id="_x0000_s1161" o:spid="_x0000_s1161" o:spt="75" type="#_x0000_t75" style="position:absolute;left:0pt;margin-left:-1pt;margin-top:-1pt;height:3pt;width:3pt;mso-position-horizontal-relative:page;mso-position-vertical-relative:page;z-index:-251642880;mso-width-relative:page;mso-height-relative:page;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</v:shape>
        </w:pict>
      </w:r>
      <w:r>
        <w:pict>
          <v:shape id="_x0000_s1162" o:spid="_x0000_s1162" o:spt="75" type="#_x0000_t75" style="position:absolute;left:0pt;margin-left:437pt;margin-top:104.1pt;height:3pt;width:20pt;mso-position-horizontal-relative:page;mso-position-vertical-relative:page;z-index:-251643904;mso-width-relative:page;mso-height-relative:page;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</v:shape>
        </w:pict>
      </w:r>
      <w:r>
        <w:pict>
          <v:shape id="_x0000_s1163" o:spid="_x0000_s1163" o:spt="75" type="#_x0000_t75" style="position:absolute;left:0pt;margin-left:380.95pt;margin-top:134.1pt;height:3pt;width:134pt;mso-position-horizontal-relative:page;mso-position-vertical-relative:page;z-index:-251644928;mso-width-relative:page;mso-height-relative:page;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</v:shape>
        </w:pict>
      </w:r>
      <w:r>
        <w:pict>
          <v:shape id="_x0000_s1164" o:spid="_x0000_s1164" o:spt="75" type="#_x0000_t75" style="position:absolute;left:0pt;margin-left:221pt;margin-top:164.1pt;height:3pt;width:62pt;mso-position-horizontal-relative:page;mso-position-vertical-relative:page;z-index:-251645952;mso-width-relative:page;mso-height-relative:page;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</v:shape>
        </w:pict>
      </w:r>
      <w:r>
        <w:pict>
          <v:shape id="_x0000_s1165" o:spid="_x0000_s1165" o:spt="75" type="#_x0000_t75" style="position:absolute;left:0pt;margin-left:437pt;margin-top:254.1pt;height:3pt;width:35.95pt;mso-position-horizontal-relative:page;mso-position-vertical-relative:page;z-index:-251646976;mso-width-relative:page;mso-height-relative:page;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</v:shape>
        </w:pict>
      </w:r>
      <w:r>
        <w:pict>
          <v:shape id="_x0000_s1166" o:spid="_x0000_s1166" o:spt="75" type="#_x0000_t75" style="position:absolute;left:0pt;margin-left:188.95pt;margin-top:284.1pt;height:3pt;width:45.05pt;mso-position-horizontal-relative:page;mso-position-vertical-relative:page;z-index:-251648000;mso-width-relative:page;mso-height-relative:page;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</v:shape>
        </w:pict>
      </w:r>
      <w:r>
        <w:pict>
          <v:shape id="_x0000_s1167" o:spid="_x0000_s1167" o:spt="75" type="#_x0000_t75" style="position:absolute;left:0pt;margin-left:359.95pt;margin-top:284.1pt;height:3pt;width:42.3pt;mso-position-horizontal-relative:page;mso-position-vertical-relative:page;z-index:-251649024;mso-width-relative:page;mso-height-relative:page;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</v:shape>
        </w:pict>
      </w:r>
      <w:r>
        <w:pict>
          <v:shape id="_x0000_s1168" o:spid="_x0000_s1168" o:spt="75" type="#_x0000_t75" style="position:absolute;left:0pt;margin-left:109pt;margin-top:314.1pt;height:3pt;width:48.95pt;mso-position-horizontal-relative:page;mso-position-vertical-relative:page;z-index:-251650048;mso-width-relative:page;mso-height-relative:page;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</v:shape>
        </w:pict>
      </w:r>
      <w:r>
        <w:pict>
          <v:shape id="_x0000_s1169" o:spid="_x0000_s1169" o:spt="75" type="#_x0000_t75" style="position:absolute;left:0pt;margin-left:251.95pt;margin-top:314.1pt;height:3pt;width:26pt;mso-position-horizontal-relative:page;mso-position-vertical-relative:page;z-index:-251651072;mso-width-relative:page;mso-height-relative:page;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</v:shape>
        </w:pict>
      </w:r>
      <w:r>
        <w:pict>
          <v:shape id="_x0000_s1170" o:spid="_x0000_s1170" o:spt="75" type="#_x0000_t75" style="position:absolute;left:0pt;margin-left:371.95pt;margin-top:314.1pt;height:3pt;width:33.6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</v:shape>
        </w:pict>
      </w:r>
      <w:r>
        <w:pict>
          <v:shape id="_x0000_s1171" o:spid="_x0000_s1171" o:spt="75" type="#_x0000_t75" style="position:absolute;left:0pt;margin-left:253pt;margin-top:344.1pt;height:3pt;width:52.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</v:shape>
        </w:pict>
      </w:r>
      <w:r>
        <w:pict>
          <v:shape id="_x0000_s1172" o:spid="_x0000_s1172" o:spt="75" type="#_x0000_t75" style="position:absolute;left:0pt;margin-left:140.95pt;margin-top:374.1pt;height:3pt;width:46.0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</v:shape>
        </w:pict>
      </w:r>
      <w:r>
        <w:pict>
          <v:shape id="_x0000_s1173" o:spid="_x0000_s1173" o:spt="75" type="#_x0000_t75" style="position:absolute;left:0pt;margin-left:452.95pt;margin-top:434.1pt;height:3pt;width:33.05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</v:shape>
        </w:pict>
      </w:r>
      <w:r>
        <w:pict>
          <v:shape id="_x0000_s1174" o:spid="_x0000_s1174" o:spt="75" type="#_x0000_t75" style="position:absolute;left:0pt;margin-left:125pt;margin-top:464.1pt;height:3pt;width:46.4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</v:shape>
        </w:pict>
      </w:r>
      <w:r>
        <w:pict>
          <v:shape id="_x0000_s1175" o:spid="_x0000_s1175" o:spt="75" type="#_x0000_t75" style="position:absolute;left:0pt;margin-left:205pt;margin-top:494.1pt;height:3pt;width:72.9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</v:shape>
        </w:pict>
      </w:r>
      <w:r>
        <w:rPr>
          <w:rFonts w:ascii="仿宋" w:hAnsi="仿宋" w:cs="仿宋"/>
          <w:color w:val="000000"/>
          <w:spacing w:val="0"/>
          <w:sz w:val="32"/>
          <w:u w:val="single"/>
        </w:rPr>
        <w:t>通辽市人民医院</w:t>
      </w:r>
      <w:r>
        <w:rPr>
          <w:rFonts w:ascii="Times New Roman"/>
          <w:color w:val="000000"/>
          <w:spacing w:val="1"/>
          <w:sz w:val="32"/>
          <w:u w:val="single"/>
        </w:rPr>
        <w:t xml:space="preserve"> </w:t>
      </w:r>
      <w:r>
        <w:rPr>
          <w:rFonts w:ascii="仿宋"/>
          <w:color w:val="000000"/>
          <w:spacing w:val="0"/>
          <w:sz w:val="32"/>
        </w:rPr>
        <w:t>2025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年度政府采购支出预算总额</w:t>
      </w:r>
    </w:p>
    <w:p w14:paraId="65FBCE83">
      <w:pPr>
        <w:spacing w:before="260" w:after="0" w:line="36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DJKVE+TimesNewRomanPSMT"/>
          <w:color w:val="000000"/>
          <w:spacing w:val="0"/>
          <w:sz w:val="32"/>
          <w:u w:val="single"/>
        </w:rPr>
        <w:t>56,819.749648</w:t>
      </w:r>
      <w:r>
        <w:rPr>
          <w:rFonts w:ascii="Times New Roman"/>
          <w:color w:val="000000"/>
          <w:spacing w:val="240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万元，其中：拟采购货物支出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44,486.834048</w:t>
      </w:r>
    </w:p>
    <w:p w14:paraId="00892407">
      <w:pPr>
        <w:spacing w:before="236" w:after="0" w:line="36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万元、拟采购工程支出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6,800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仿宋" w:hAnsi="仿宋" w:cs="仿宋"/>
          <w:color w:val="000000"/>
          <w:spacing w:val="-8"/>
          <w:sz w:val="32"/>
        </w:rPr>
        <w:t>万元、拟购买服务支出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  <w:u w:val="single"/>
        </w:rPr>
        <w:t>5,532.9156</w:t>
      </w:r>
    </w:p>
    <w:p w14:paraId="04AC7674">
      <w:pPr>
        <w:spacing w:before="24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万元。</w:t>
      </w:r>
    </w:p>
    <w:p w14:paraId="2F90614A">
      <w:pPr>
        <w:spacing w:before="271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十三、国有资产占用情况说明</w:t>
      </w:r>
    </w:p>
    <w:p w14:paraId="01965CAF">
      <w:pPr>
        <w:spacing w:before="261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  <w:u w:val="single"/>
        </w:rPr>
        <w:t>通辽市人民医院截止</w:t>
      </w:r>
      <w:r>
        <w:rPr>
          <w:rFonts w:ascii="Times New Roman"/>
          <w:color w:val="000000"/>
          <w:spacing w:val="1"/>
          <w:sz w:val="32"/>
          <w:u w:val="single"/>
        </w:rPr>
        <w:t xml:space="preserve"> </w:t>
      </w:r>
      <w:r>
        <w:rPr>
          <w:rFonts w:ascii="仿宋"/>
          <w:color w:val="000000"/>
          <w:spacing w:val="0"/>
          <w:sz w:val="32"/>
          <w:u w:val="single"/>
        </w:rPr>
        <w:t>2024</w:t>
      </w:r>
      <w:r>
        <w:rPr>
          <w:rFonts w:ascii="Times New Roman"/>
          <w:color w:val="000000"/>
          <w:spacing w:val="0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  <w:u w:val="single"/>
        </w:rPr>
        <w:t>年</w:t>
      </w:r>
      <w:r>
        <w:rPr>
          <w:rFonts w:ascii="Times New Roman"/>
          <w:color w:val="000000"/>
          <w:spacing w:val="-2"/>
          <w:sz w:val="32"/>
          <w:u w:val="single"/>
        </w:rPr>
        <w:t xml:space="preserve"> </w:t>
      </w:r>
      <w:r>
        <w:rPr>
          <w:rFonts w:ascii="仿宋"/>
          <w:color w:val="000000"/>
          <w:spacing w:val="1"/>
          <w:sz w:val="32"/>
          <w:u w:val="single"/>
        </w:rPr>
        <w:t>12</w:t>
      </w:r>
      <w:r>
        <w:rPr>
          <w:rFonts w:ascii="Times New Roman"/>
          <w:color w:val="000000"/>
          <w:spacing w:val="-1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  <w:u w:val="single"/>
        </w:rPr>
        <w:t>月</w:t>
      </w:r>
      <w:r>
        <w:rPr>
          <w:rFonts w:ascii="Times New Roman"/>
          <w:color w:val="000000"/>
          <w:spacing w:val="1"/>
          <w:sz w:val="32"/>
          <w:u w:val="single"/>
        </w:rPr>
        <w:t xml:space="preserve"> </w:t>
      </w:r>
      <w:r>
        <w:rPr>
          <w:rFonts w:ascii="仿宋"/>
          <w:color w:val="000000"/>
          <w:spacing w:val="1"/>
          <w:sz w:val="32"/>
          <w:u w:val="single"/>
        </w:rPr>
        <w:t>31</w:t>
      </w:r>
      <w:r>
        <w:rPr>
          <w:rFonts w:ascii="Times New Roman"/>
          <w:color w:val="000000"/>
          <w:spacing w:val="-3"/>
          <w:sz w:val="32"/>
          <w:u w:val="single"/>
        </w:rPr>
        <w:t xml:space="preserve"> </w:t>
      </w:r>
      <w:r>
        <w:rPr>
          <w:rFonts w:ascii="仿宋" w:hAnsi="仿宋" w:cs="仿宋"/>
          <w:color w:val="000000"/>
          <w:spacing w:val="2"/>
          <w:sz w:val="32"/>
          <w:u w:val="single"/>
        </w:rPr>
        <w:t>日</w:t>
      </w:r>
      <w:r>
        <w:rPr>
          <w:rFonts w:ascii="仿宋" w:hAnsi="仿宋" w:cs="仿宋"/>
          <w:color w:val="000000"/>
          <w:spacing w:val="0"/>
          <w:sz w:val="32"/>
        </w:rPr>
        <w:t>共有车辆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LDJKVE+TimesNewRomanPSMT"/>
          <w:color w:val="000000"/>
          <w:spacing w:val="1"/>
          <w:sz w:val="32"/>
        </w:rPr>
        <w:t>41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辆</w:t>
      </w:r>
      <w:r>
        <w:rPr>
          <w:rFonts w:ascii="Times New Roman"/>
          <w:color w:val="000000"/>
          <w:spacing w:val="-78"/>
          <w:sz w:val="32"/>
        </w:rPr>
        <w:t xml:space="preserve"> </w:t>
      </w:r>
      <w:r>
        <w:rPr>
          <w:rFonts w:ascii="仿宋" w:hAnsi="仿宋" w:cs="仿宋"/>
          <w:color w:val="000000"/>
          <w:spacing w:val="-60"/>
          <w:sz w:val="32"/>
        </w:rPr>
        <w:t>，其</w:t>
      </w:r>
    </w:p>
    <w:p w14:paraId="25C70350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中，一般公务用车</w:t>
      </w:r>
      <w:r>
        <w:rPr>
          <w:rFonts w:ascii="Times New Roman"/>
          <w:color w:val="000000"/>
          <w:spacing w:val="30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辆、执法执勤用车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仿宋" w:hAnsi="仿宋" w:cs="仿宋"/>
          <w:color w:val="000000"/>
          <w:spacing w:val="2"/>
          <w:sz w:val="32"/>
        </w:rPr>
        <w:t>辆、特种专业技</w:t>
      </w:r>
    </w:p>
    <w:p w14:paraId="0DC780D1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术用车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LDJKVE+TimesNewRomanPSMT"/>
          <w:color w:val="000000"/>
          <w:spacing w:val="1"/>
          <w:sz w:val="32"/>
        </w:rPr>
        <w:t>41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辆、业务用车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辆、其他用车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仿宋" w:hAnsi="仿宋" w:cs="仿宋"/>
          <w:color w:val="000000"/>
          <w:spacing w:val="37"/>
          <w:sz w:val="32"/>
        </w:rPr>
        <w:t>辆等。单价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LDJKVE+TimesNewRomanPSMT"/>
          <w:color w:val="000000"/>
          <w:spacing w:val="-2"/>
          <w:sz w:val="32"/>
        </w:rPr>
        <w:t>50</w:t>
      </w:r>
    </w:p>
    <w:p w14:paraId="3C6AC222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万元（含）以上的通用设备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LDJKVE+TimesNewRomanPSMT"/>
          <w:color w:val="000000"/>
          <w:spacing w:val="1"/>
          <w:sz w:val="32"/>
        </w:rPr>
        <w:t>13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仿宋" w:hAnsi="仿宋" w:cs="仿宋"/>
          <w:color w:val="000000"/>
          <w:spacing w:val="3"/>
          <w:sz w:val="32"/>
        </w:rPr>
        <w:t>台，单价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LDJKVE+TimesNewRomanPSMT"/>
          <w:color w:val="000000"/>
          <w:spacing w:val="1"/>
          <w:sz w:val="32"/>
        </w:rPr>
        <w:t>100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3"/>
          <w:sz w:val="32"/>
        </w:rPr>
        <w:t>万元（含）以上</w:t>
      </w:r>
    </w:p>
    <w:p w14:paraId="39904E4A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的专用设备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133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台。</w:t>
      </w:r>
    </w:p>
    <w:p w14:paraId="0B23C419">
      <w:pPr>
        <w:spacing w:before="247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十四、项目绩效目标情况说明</w:t>
      </w:r>
    </w:p>
    <w:p w14:paraId="79C69BD6">
      <w:pPr>
        <w:spacing w:before="261" w:after="0" w:line="363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  <w:u w:val="single"/>
        </w:rPr>
        <w:t>通辽市人民医院</w:t>
      </w:r>
      <w:r>
        <w:rPr>
          <w:rFonts w:ascii="Times New Roman"/>
          <w:color w:val="000000"/>
          <w:spacing w:val="1"/>
          <w:sz w:val="32"/>
          <w:u w:val="single"/>
        </w:rPr>
        <w:t xml:space="preserve"> </w:t>
      </w:r>
      <w:r>
        <w:rPr>
          <w:rFonts w:ascii="仿宋"/>
          <w:color w:val="000000"/>
          <w:spacing w:val="0"/>
          <w:sz w:val="32"/>
        </w:rPr>
        <w:t>2025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年度填报绩效目标的预算项目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个，</w:t>
      </w:r>
    </w:p>
    <w:p w14:paraId="7882DEB6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公开项目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仿宋" w:hAnsi="仿宋" w:cs="仿宋"/>
          <w:color w:val="000000"/>
          <w:spacing w:val="4"/>
          <w:sz w:val="32"/>
        </w:rPr>
        <w:t>个，公开项目占全部预算项目的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100</w:t>
      </w:r>
      <w:r>
        <w:rPr>
          <w:rFonts w:ascii="仿宋" w:hAnsi="仿宋" w:cs="仿宋"/>
          <w:color w:val="000000"/>
          <w:spacing w:val="4"/>
          <w:sz w:val="32"/>
        </w:rPr>
        <w:t>%。公开填报</w:t>
      </w:r>
    </w:p>
    <w:p w14:paraId="6AB61F5E">
      <w:pPr>
        <w:spacing w:before="23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绩效目标的项目预算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168,400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万元，占全部项目预算的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LDJKVE+TimesNewRomanPSMT"/>
          <w:color w:val="000000"/>
          <w:spacing w:val="0"/>
          <w:sz w:val="32"/>
        </w:rPr>
        <w:t>100</w:t>
      </w:r>
      <w:r>
        <w:rPr>
          <w:rFonts w:ascii="仿宋" w:hAnsi="仿宋" w:cs="仿宋"/>
          <w:color w:val="000000"/>
          <w:spacing w:val="1"/>
          <w:sz w:val="32"/>
        </w:rPr>
        <w:t>%。</w:t>
      </w:r>
    </w:p>
    <w:p w14:paraId="746A4D78">
      <w:pPr>
        <w:spacing w:before="806" w:after="0" w:line="429" w:lineRule="exact"/>
        <w:ind w:left="2899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UJUFN+FZXBSJW--GB1-0" w:hAnsi="WUJUFN+FZXBSJW--GB1-0" w:cs="WUJUFN+FZXBSJW--GB1-0"/>
          <w:color w:val="000000"/>
          <w:spacing w:val="0"/>
          <w:sz w:val="36"/>
        </w:rPr>
        <w:t>第三部分</w:t>
      </w:r>
      <w:r>
        <w:rPr>
          <w:rFonts w:ascii="Times New Roman"/>
          <w:color w:val="000000"/>
          <w:spacing w:val="270"/>
          <w:sz w:val="36"/>
        </w:rPr>
        <w:t xml:space="preserve"> </w:t>
      </w:r>
      <w:r>
        <w:rPr>
          <w:rFonts w:ascii="WUJUFN+FZXBSJW--GB1-0" w:hAnsi="WUJUFN+FZXBSJW--GB1-0" w:cs="WUJUFN+FZXBSJW--GB1-0"/>
          <w:color w:val="000000"/>
          <w:spacing w:val="0"/>
          <w:sz w:val="36"/>
        </w:rPr>
        <w:t>名词解释</w:t>
      </w:r>
    </w:p>
    <w:p w14:paraId="1131DEE6">
      <w:pPr>
        <w:spacing w:before="624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一、财政拨款：从同级财政部门取得的各类财政拨款，包括</w:t>
      </w:r>
    </w:p>
    <w:p w14:paraId="3FA21BB6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一般公共预算拨款、政府性基金预算拨款、国有资本经营预算拨</w:t>
      </w:r>
    </w:p>
    <w:p w14:paraId="620DEB75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款。</w:t>
      </w:r>
    </w:p>
    <w:p w14:paraId="3D28AA81">
      <w:pPr>
        <w:spacing w:before="271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仿宋" w:hAnsi="仿宋" w:cs="仿宋"/>
          <w:color w:val="000000"/>
          <w:spacing w:val="1"/>
          <w:sz w:val="32"/>
        </w:rPr>
        <w:t>二、一般公共预算拨款收入：</w:t>
      </w:r>
      <w:r>
        <w:rPr>
          <w:rFonts w:ascii="仿宋" w:hAnsi="仿宋" w:cs="仿宋"/>
          <w:color w:val="000000"/>
          <w:spacing w:val="0"/>
          <w:sz w:val="30"/>
        </w:rPr>
        <w:t>指财政当年拨付的资金。</w:t>
      </w:r>
    </w:p>
    <w:p w14:paraId="4F921B69">
      <w:pPr>
        <w:spacing w:before="271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三、财政专户管理资金：缴入财政专户、实行专项管理的高</w:t>
      </w:r>
    </w:p>
    <w:p w14:paraId="3CB70808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中以上学费、住宿费、高校委托培养费、函大、电大、夜大及短</w:t>
      </w:r>
    </w:p>
    <w:p w14:paraId="3053A397">
      <w:pPr>
        <w:spacing w:before="572" w:after="0" w:line="260" w:lineRule="exact"/>
        <w:ind w:left="40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等线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1"/>
          <w:sz w:val="24"/>
        </w:rPr>
        <w:t>14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-</w:t>
      </w:r>
    </w:p>
    <w:p w14:paraId="3395088B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D9C91A9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614A9C7">
      <w:pPr>
        <w:pStyle w:val="4"/>
        <w:sectPr>
          <w:pgSz w:w="11900" w:h="16840"/>
          <w:pgMar w:top="1785" w:right="100" w:bottom="0" w:left="1241" w:header="720" w:footer="720" w:gutter="0"/>
          <w:pgNumType w:start="1"/>
          <w:cols w:space="720" w:num="1"/>
          <w:docGrid w:linePitch="1" w:charSpace="0"/>
        </w:sectPr>
      </w:pPr>
    </w:p>
    <w:p w14:paraId="30B93E5C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DD12D68">
      <w:pPr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bookmarkStart w:id="14" w:name="br15"/>
      <w:bookmarkEnd w:id="14"/>
      <w:r>
        <w:rPr>
          <w:rFonts w:ascii="仿宋" w:hAnsi="仿宋" w:cs="仿宋"/>
          <w:color w:val="000000"/>
          <w:spacing w:val="0"/>
          <w:sz w:val="32"/>
        </w:rPr>
        <w:t>训班培训费等教育收费。</w:t>
      </w:r>
    </w:p>
    <w:p w14:paraId="0C63D8F0">
      <w:pPr>
        <w:spacing w:before="271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四、单位资金：除财政拨款收入和财政专户管理资金以外的</w:t>
      </w:r>
    </w:p>
    <w:p w14:paraId="0CD5826E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收入，包括事业收入（不含教育收费）、上级补助收入、附属单</w:t>
      </w:r>
    </w:p>
    <w:p w14:paraId="49F211C7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位上缴收入、事业单位经营收入及其他收入（包含债务收入、投</w:t>
      </w:r>
    </w:p>
    <w:p w14:paraId="07454084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资收益等）。</w:t>
      </w:r>
    </w:p>
    <w:p w14:paraId="46123173">
      <w:pPr>
        <w:spacing w:before="271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五、基本支出：指为保障机构正常运转、完成工作任务而发</w:t>
      </w:r>
    </w:p>
    <w:p w14:paraId="0BD04640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生的人员支出和公用支出。</w:t>
      </w:r>
    </w:p>
    <w:p w14:paraId="0B54B5EB">
      <w:pPr>
        <w:spacing w:before="271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六、项目支出：指在基本支出之外为完成特定工作任务和事</w:t>
      </w:r>
    </w:p>
    <w:p w14:paraId="1F13D9FD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业发展目标所发生的支出。</w:t>
      </w:r>
    </w:p>
    <w:p w14:paraId="073F0F69">
      <w:pPr>
        <w:spacing w:before="271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七、对个人和家庭的补助：是指政府用于对个人和家庭的补</w:t>
      </w:r>
    </w:p>
    <w:p w14:paraId="27BC2728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助支出。</w:t>
      </w:r>
    </w:p>
    <w:p w14:paraId="67D11C2C">
      <w:pPr>
        <w:spacing w:before="271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八、“三公”经费：指部门（单位）用一般公共预算财政拨</w:t>
      </w:r>
    </w:p>
    <w:p w14:paraId="0F60FCC9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款安排的因公出国（境）费、公务用车购置及运行维护费和公务</w:t>
      </w:r>
    </w:p>
    <w:p w14:paraId="173825BE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3"/>
          <w:sz w:val="32"/>
        </w:rPr>
        <w:t>接待费。其中，因公出国（境）费反映部门（单位）公务出国（境）</w:t>
      </w:r>
    </w:p>
    <w:p w14:paraId="2EA8F174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的住宿费、旅费、伙食补助费、杂费、培训费等支出；公务用车</w:t>
      </w:r>
    </w:p>
    <w:p w14:paraId="41074EC5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购置及运行维护费反映部门（单位）公务用车购置费、燃料费、</w:t>
      </w:r>
    </w:p>
    <w:p w14:paraId="3F4FD8F3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维修费、过路过桥费、保险费、安全奖励费用等支出；公务接待</w:t>
      </w:r>
    </w:p>
    <w:p w14:paraId="43FE1F3A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费反映部门（单位）按规定开支的各类公务接待（含外宾接待）</w:t>
      </w:r>
    </w:p>
    <w:p w14:paraId="62D920A1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支出。</w:t>
      </w:r>
    </w:p>
    <w:p w14:paraId="4E84772C">
      <w:pPr>
        <w:spacing w:before="271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九、机构运行经费：指部门（单位）使用一般公共预算安排</w:t>
      </w:r>
    </w:p>
    <w:p w14:paraId="49F9DD84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3"/>
          <w:sz w:val="32"/>
        </w:rPr>
        <w:t>的基本支出中的日常公用经费支出，包括办公及印刷费、邮电费、</w:t>
      </w:r>
    </w:p>
    <w:p w14:paraId="4EAA3E3B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差旅费、会议费、福利费、日常维修费、专用材料及一般设备购</w:t>
      </w:r>
    </w:p>
    <w:p w14:paraId="21446122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3"/>
          <w:sz w:val="32"/>
        </w:rPr>
        <w:t>置费、办公用房水电费、办公用房取暖费、办公用房物业管理费、</w:t>
      </w:r>
    </w:p>
    <w:p w14:paraId="1B234BA0">
      <w:pPr>
        <w:spacing w:before="384" w:after="0" w:line="260" w:lineRule="exact"/>
        <w:ind w:left="40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等线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1"/>
          <w:sz w:val="24"/>
        </w:rPr>
        <w:t>15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-</w:t>
      </w:r>
    </w:p>
    <w:p w14:paraId="42985F94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D6DAB98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C8CA93E">
      <w:pPr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bookmarkStart w:id="15" w:name="br16"/>
      <w:bookmarkEnd w:id="15"/>
      <w:r>
        <w:rPr>
          <w:rFonts w:ascii="仿宋" w:hAnsi="仿宋" w:cs="仿宋"/>
          <w:color w:val="000000"/>
          <w:spacing w:val="0"/>
          <w:sz w:val="32"/>
        </w:rPr>
        <w:t>公务用车运行维护费及其他费用等。</w:t>
      </w:r>
    </w:p>
    <w:p w14:paraId="59BB909E">
      <w:pPr>
        <w:spacing w:before="9984" w:after="0" w:line="260" w:lineRule="exact"/>
        <w:ind w:left="40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hint="eastAsia" w:ascii="WUJUFN+FZXBSJW--GB1-0" w:hAnsi="WUJUFN+FZXBSJW--GB1-0" w:cs="WUJUFN+FZXBSJW--GB1-0"/>
          <w:color w:val="000000"/>
          <w:spacing w:val="0"/>
          <w:sz w:val="36"/>
          <w:lang w:eastAsia="zh-CN"/>
        </w:rPr>
        <w:t>、</w:t>
      </w:r>
      <w:bookmarkStart w:id="18" w:name="_GoBack"/>
      <w:bookmarkEnd w:id="18"/>
      <w:r>
        <w:rPr>
          <w:rFonts w:ascii="等线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1"/>
          <w:sz w:val="24"/>
        </w:rPr>
        <w:t>16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-</w:t>
      </w:r>
    </w:p>
    <w:p w14:paraId="61D35E8A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8DC8EE1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179F9CD">
      <w:pPr>
        <w:pStyle w:val="4"/>
        <w:sectPr>
          <w:pgSz w:w="11900" w:h="16840"/>
          <w:pgMar w:top="1786" w:right="100" w:bottom="0" w:left="1241" w:header="720" w:footer="720" w:gutter="0"/>
          <w:pgNumType w:start="1"/>
          <w:cols w:space="720" w:num="1"/>
          <w:docGrid w:linePitch="1" w:charSpace="0"/>
        </w:sectPr>
      </w:pPr>
    </w:p>
    <w:p w14:paraId="6889B653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3F48DC8">
      <w:pPr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6" w:name="br17"/>
      <w:bookmarkEnd w:id="16"/>
      <w:r>
        <w:rPr>
          <w:rFonts w:ascii="等线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1"/>
          <w:sz w:val="24"/>
        </w:rPr>
        <w:t>17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-</w:t>
      </w:r>
    </w:p>
    <w:p w14:paraId="56695BCC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2202313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DDE1AE6">
      <w:pPr>
        <w:pStyle w:val="4"/>
        <w:sectPr>
          <w:pgSz w:w="11900" w:h="16840"/>
          <w:pgMar w:top="15699" w:right="100" w:bottom="0" w:left="5340" w:header="720" w:footer="720" w:gutter="0"/>
          <w:pgNumType w:start="1"/>
          <w:cols w:space="720" w:num="1"/>
          <w:docGrid w:linePitch="1" w:charSpace="0"/>
        </w:sectPr>
      </w:pPr>
    </w:p>
    <w:p w14:paraId="45E639B9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B6BD6B8">
      <w:pPr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7" w:name="br18"/>
      <w:bookmarkEnd w:id="17"/>
      <w:r>
        <w:rPr>
          <w:rFonts w:ascii="等线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1"/>
          <w:sz w:val="24"/>
        </w:rPr>
        <w:t>18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等线"/>
          <w:color w:val="000000"/>
          <w:spacing w:val="0"/>
          <w:sz w:val="24"/>
        </w:rPr>
        <w:t>-</w:t>
      </w:r>
    </w:p>
    <w:sectPr>
      <w:pgSz w:w="11900" w:h="16820"/>
      <w:pgMar w:top="15381" w:right="100" w:bottom="0" w:left="5330" w:header="720" w:footer="720" w:gutter="0"/>
      <w:pgNumType w:start="1"/>
      <w:cols w:space="720" w:num="1"/>
      <w:docGrid w:linePitch="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430BF524-1FAE-4688-9EAF-EE62C10DE1F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DFBA800-3514-4BB1-BE79-9A883F46F62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3B21F23-0CD7-4210-8E01-3931F69D72D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5D765BB-59B4-446F-9783-BC85348B073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802DBE6B-6150-491A-9231-CC44071752A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2E46CA4B-E51A-4428-A0A6-5E209EEDAD4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5B034F78-0C66-4C22-B653-DD82B8D915D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31E08589-3B03-4BB2-BE65-DF55CAAFD3A3}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  <w:embedRegular r:id="rId9" w:fontKey="{65D18BE4-D17F-4A4E-A4BE-72459CDED29F}"/>
  </w:font>
  <w:font w:name="WUJUFN+FZXBSJW--GB1-0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9216010D-A3E4-4C5F-A90F-915566204F3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1" w:fontKey="{C962B10B-946A-4332-B952-D3837DB48E8C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12" w:fontKey="{8F901D7C-C624-4C58-97C1-7D8585B3751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3" w:fontKey="{E9182B74-1C6C-4D13-AF60-08A85B45AA84}"/>
  </w:font>
  <w:font w:name="LDJKVE+TimesNewRomanPS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4" w:fontKey="{4BFB1694-3103-4502-B708-6B52CF63101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5" w:fontKey="{F84BDDA5-A23E-465E-B6C4-4DC642522CFE}"/>
  </w:font>
  <w:font w:name="NOMAKA+TimesNewRomanPS-Bold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6" w:fontKey="{56728735-71F0-4815-B648-F89081DC0DF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47A6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iPriority="99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iPriority="99" w:name="Title"/>
    <w:lsdException w:uiPriority="99" w:name="Closing"/>
    <w:lsdException w:uiPriority="99" w:name="Signature"/>
    <w:lsdException w:unhideWhenUsed="0" w:uiPriority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iPriority="99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qFormat="1" w:unhideWhenUsed="0" w:uiPriority="0" w:name="No Lis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 w:line="259" w:lineRule="auto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table" w:customStyle="1" w:styleId="5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jpeg"/><Relationship Id="rId98" Type="http://schemas.openxmlformats.org/officeDocument/2006/relationships/image" Target="media/image93.jpeg"/><Relationship Id="rId97" Type="http://schemas.openxmlformats.org/officeDocument/2006/relationships/image" Target="media/image92.jpeg"/><Relationship Id="rId96" Type="http://schemas.openxmlformats.org/officeDocument/2006/relationships/image" Target="media/image91.jpeg"/><Relationship Id="rId95" Type="http://schemas.openxmlformats.org/officeDocument/2006/relationships/image" Target="media/image90.jpeg"/><Relationship Id="rId94" Type="http://schemas.openxmlformats.org/officeDocument/2006/relationships/image" Target="media/image89.jpeg"/><Relationship Id="rId93" Type="http://schemas.openxmlformats.org/officeDocument/2006/relationships/image" Target="media/image88.jpeg"/><Relationship Id="rId92" Type="http://schemas.openxmlformats.org/officeDocument/2006/relationships/image" Target="media/image87.jpeg"/><Relationship Id="rId91" Type="http://schemas.openxmlformats.org/officeDocument/2006/relationships/image" Target="media/image86.jpeg"/><Relationship Id="rId90" Type="http://schemas.openxmlformats.org/officeDocument/2006/relationships/image" Target="media/image85.jpeg"/><Relationship Id="rId9" Type="http://schemas.openxmlformats.org/officeDocument/2006/relationships/image" Target="media/image4.jpeg"/><Relationship Id="rId89" Type="http://schemas.openxmlformats.org/officeDocument/2006/relationships/image" Target="media/image84.jpeg"/><Relationship Id="rId88" Type="http://schemas.openxmlformats.org/officeDocument/2006/relationships/image" Target="media/image83.jpeg"/><Relationship Id="rId87" Type="http://schemas.openxmlformats.org/officeDocument/2006/relationships/image" Target="media/image82.jpeg"/><Relationship Id="rId86" Type="http://schemas.openxmlformats.org/officeDocument/2006/relationships/image" Target="media/image81.jpeg"/><Relationship Id="rId85" Type="http://schemas.openxmlformats.org/officeDocument/2006/relationships/image" Target="media/image80.jpeg"/><Relationship Id="rId84" Type="http://schemas.openxmlformats.org/officeDocument/2006/relationships/image" Target="media/image79.jpeg"/><Relationship Id="rId83" Type="http://schemas.openxmlformats.org/officeDocument/2006/relationships/image" Target="media/image78.jpeg"/><Relationship Id="rId82" Type="http://schemas.openxmlformats.org/officeDocument/2006/relationships/image" Target="media/image77.jpeg"/><Relationship Id="rId81" Type="http://schemas.openxmlformats.org/officeDocument/2006/relationships/image" Target="media/image76.jpeg"/><Relationship Id="rId80" Type="http://schemas.openxmlformats.org/officeDocument/2006/relationships/image" Target="media/image75.jpeg"/><Relationship Id="rId8" Type="http://schemas.openxmlformats.org/officeDocument/2006/relationships/image" Target="media/image3.jpeg"/><Relationship Id="rId79" Type="http://schemas.openxmlformats.org/officeDocument/2006/relationships/image" Target="media/image74.jpeg"/><Relationship Id="rId78" Type="http://schemas.openxmlformats.org/officeDocument/2006/relationships/image" Target="media/image73.jpeg"/><Relationship Id="rId77" Type="http://schemas.openxmlformats.org/officeDocument/2006/relationships/image" Target="media/image72.jpeg"/><Relationship Id="rId76" Type="http://schemas.openxmlformats.org/officeDocument/2006/relationships/image" Target="media/image71.jpeg"/><Relationship Id="rId75" Type="http://schemas.openxmlformats.org/officeDocument/2006/relationships/image" Target="media/image70.jpeg"/><Relationship Id="rId74" Type="http://schemas.openxmlformats.org/officeDocument/2006/relationships/image" Target="media/image69.jpeg"/><Relationship Id="rId73" Type="http://schemas.openxmlformats.org/officeDocument/2006/relationships/image" Target="media/image68.jpeg"/><Relationship Id="rId72" Type="http://schemas.openxmlformats.org/officeDocument/2006/relationships/image" Target="media/image67.jpeg"/><Relationship Id="rId71" Type="http://schemas.openxmlformats.org/officeDocument/2006/relationships/image" Target="media/image66.jpeg"/><Relationship Id="rId70" Type="http://schemas.openxmlformats.org/officeDocument/2006/relationships/image" Target="media/image65.jpeg"/><Relationship Id="rId7" Type="http://schemas.openxmlformats.org/officeDocument/2006/relationships/image" Target="media/image2.jpeg"/><Relationship Id="rId69" Type="http://schemas.openxmlformats.org/officeDocument/2006/relationships/image" Target="media/image64.jpeg"/><Relationship Id="rId68" Type="http://schemas.openxmlformats.org/officeDocument/2006/relationships/image" Target="media/image63.jpeg"/><Relationship Id="rId67" Type="http://schemas.openxmlformats.org/officeDocument/2006/relationships/image" Target="media/image62.jpeg"/><Relationship Id="rId66" Type="http://schemas.openxmlformats.org/officeDocument/2006/relationships/image" Target="media/image61.jpeg"/><Relationship Id="rId65" Type="http://schemas.openxmlformats.org/officeDocument/2006/relationships/image" Target="media/image60.jpeg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jpe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1.jpe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5" Type="http://schemas.openxmlformats.org/officeDocument/2006/relationships/fontTable" Target="fontTable.xml"/><Relationship Id="rId134" Type="http://schemas.openxmlformats.org/officeDocument/2006/relationships/customXml" Target="../customXml/item1.xml"/><Relationship Id="rId133" Type="http://schemas.openxmlformats.org/officeDocument/2006/relationships/image" Target="media/image128.jpeg"/><Relationship Id="rId132" Type="http://schemas.openxmlformats.org/officeDocument/2006/relationships/image" Target="media/image127.jpeg"/><Relationship Id="rId131" Type="http://schemas.openxmlformats.org/officeDocument/2006/relationships/image" Target="media/image126.jpeg"/><Relationship Id="rId130" Type="http://schemas.openxmlformats.org/officeDocument/2006/relationships/image" Target="media/image125.jpeg"/><Relationship Id="rId13" Type="http://schemas.openxmlformats.org/officeDocument/2006/relationships/image" Target="media/image8.jpeg"/><Relationship Id="rId129" Type="http://schemas.openxmlformats.org/officeDocument/2006/relationships/image" Target="media/image124.jpeg"/><Relationship Id="rId128" Type="http://schemas.openxmlformats.org/officeDocument/2006/relationships/image" Target="media/image123.jpeg"/><Relationship Id="rId127" Type="http://schemas.openxmlformats.org/officeDocument/2006/relationships/image" Target="media/image122.jpeg"/><Relationship Id="rId126" Type="http://schemas.openxmlformats.org/officeDocument/2006/relationships/image" Target="media/image121.jpeg"/><Relationship Id="rId125" Type="http://schemas.openxmlformats.org/officeDocument/2006/relationships/image" Target="media/image120.jpeg"/><Relationship Id="rId124" Type="http://schemas.openxmlformats.org/officeDocument/2006/relationships/image" Target="media/image119.jpeg"/><Relationship Id="rId123" Type="http://schemas.openxmlformats.org/officeDocument/2006/relationships/image" Target="media/image118.jpeg"/><Relationship Id="rId122" Type="http://schemas.openxmlformats.org/officeDocument/2006/relationships/image" Target="media/image117.jpeg"/><Relationship Id="rId121" Type="http://schemas.openxmlformats.org/officeDocument/2006/relationships/image" Target="media/image116.jpeg"/><Relationship Id="rId120" Type="http://schemas.openxmlformats.org/officeDocument/2006/relationships/image" Target="media/image115.jpeg"/><Relationship Id="rId12" Type="http://schemas.openxmlformats.org/officeDocument/2006/relationships/image" Target="media/image7.jpeg"/><Relationship Id="rId119" Type="http://schemas.openxmlformats.org/officeDocument/2006/relationships/image" Target="media/image114.jpeg"/><Relationship Id="rId118" Type="http://schemas.openxmlformats.org/officeDocument/2006/relationships/image" Target="media/image113.jpeg"/><Relationship Id="rId117" Type="http://schemas.openxmlformats.org/officeDocument/2006/relationships/image" Target="media/image112.jpeg"/><Relationship Id="rId116" Type="http://schemas.openxmlformats.org/officeDocument/2006/relationships/image" Target="media/image111.jpeg"/><Relationship Id="rId115" Type="http://schemas.openxmlformats.org/officeDocument/2006/relationships/image" Target="media/image110.jpeg"/><Relationship Id="rId114" Type="http://schemas.openxmlformats.org/officeDocument/2006/relationships/image" Target="media/image109.jpeg"/><Relationship Id="rId113" Type="http://schemas.openxmlformats.org/officeDocument/2006/relationships/image" Target="media/image108.jpeg"/><Relationship Id="rId112" Type="http://schemas.openxmlformats.org/officeDocument/2006/relationships/image" Target="media/image107.jpeg"/><Relationship Id="rId111" Type="http://schemas.openxmlformats.org/officeDocument/2006/relationships/image" Target="media/image106.jpeg"/><Relationship Id="rId110" Type="http://schemas.openxmlformats.org/officeDocument/2006/relationships/image" Target="media/image105.jpeg"/><Relationship Id="rId11" Type="http://schemas.openxmlformats.org/officeDocument/2006/relationships/image" Target="media/image6.jpeg"/><Relationship Id="rId109" Type="http://schemas.openxmlformats.org/officeDocument/2006/relationships/image" Target="media/image104.jpeg"/><Relationship Id="rId108" Type="http://schemas.openxmlformats.org/officeDocument/2006/relationships/image" Target="media/image103.jpeg"/><Relationship Id="rId107" Type="http://schemas.openxmlformats.org/officeDocument/2006/relationships/image" Target="media/image102.jpeg"/><Relationship Id="rId106" Type="http://schemas.openxmlformats.org/officeDocument/2006/relationships/image" Target="media/image101.jpeg"/><Relationship Id="rId105" Type="http://schemas.openxmlformats.org/officeDocument/2006/relationships/image" Target="media/image100.jpeg"/><Relationship Id="rId104" Type="http://schemas.openxmlformats.org/officeDocument/2006/relationships/image" Target="media/image99.jpeg"/><Relationship Id="rId103" Type="http://schemas.openxmlformats.org/officeDocument/2006/relationships/image" Target="media/image98.jpeg"/><Relationship Id="rId102" Type="http://schemas.openxmlformats.org/officeDocument/2006/relationships/image" Target="media/image97.jpeg"/><Relationship Id="rId101" Type="http://schemas.openxmlformats.org/officeDocument/2006/relationships/image" Target="media/image96.jpeg"/><Relationship Id="rId100" Type="http://schemas.openxmlformats.org/officeDocument/2006/relationships/image" Target="media/image95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5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5371</Words>
  <Characters>6006</Characters>
  <Lines>0</Lines>
  <Paragraphs>303</Paragraphs>
  <TotalTime>3</TotalTime>
  <ScaleCrop>false</ScaleCrop>
  <LinksUpToDate>false</LinksUpToDate>
  <CharactersWithSpaces>6501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2025-04-28T02:17:00Z</dcterms:created>
  <dc:creator>SYSTEM</dc:creator>
  <cp:lastModifiedBy>？</cp:lastModifiedBy>
  <dcterms:modified xsi:type="dcterms:W3CDTF">2025-04-28T08:20:38Z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eyJoZGlkIjoiNjNiYjgxNTRhNDU4NjcwN2ZhYWFmYjMxMTBjMDdkZDgiLCJ1c2VySWQiOiIyNTM3MTk3MjIifQ==</vt:lpwstr>
  </property>
  <property fmtid="{D5CDD505-2E9C-101B-9397-08002B2CF9AE}" pid="3" name="KSOProductBuildVer">
    <vt:lpwstr>2052-12.1.0.21171</vt:lpwstr>
  </property>
  <property fmtid="{D5CDD505-2E9C-101B-9397-08002B2CF9AE}" pid="4" name="ICV">
    <vt:lpwstr>C48BA9BB33CE4D3C98F1D057CA8BE05B_12</vt:lpwstr>
  </property>
</Properties>
</file>